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Governance, Compliance and Continuous Improvement Policy</w:t>
      </w:r>
    </w:p>
    <w:p>
      <w:pPr>
        <w:spacing w:before="0" w:after="160" w:line="276"/>
      </w:pPr>
      <w:r>
        <w:rPr>
          <w:rFonts w:ascii="Aptos" w:cs="Aptos" w:eastAsia="Aptos" w:hAnsi="Aptos"/>
          <w:color w:val="4F7F80"/>
          <w:sz w:val="24"/>
          <w:szCs w:val="24"/>
        </w:rPr>
        <w:t xml:space="preserve">How SteelRiver Academy is governed, how it meets its compliance obligations, manages risk and keeps improving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SRA-RTO-002</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 endorsed by Lila Petrov, Head of People and Culture</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Governing persons, all Academy staff and contractors, and Quality Committee members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SteelRiver Academy (the Academy) is the enterprise RTO of SteelRiver Logistics Pty Ltd (RTO 99999, simulated), registered by the Training Accreditation Council (TAC) under the Vocational Education and Training Act 1996 (WA). This policy sets out who is accountable for the Academy, how its compliance obligations under the Standards for RTOs 2025 are met and checked, how risks are managed and how feedback becomes improvement.</w:t>
      </w:r>
    </w:p>
    <w:p>
      <w:pPr>
        <w:spacing w:before="0" w:after="120" w:line="276"/>
      </w:pPr>
      <w:r>
        <w:rPr>
          <w:rFonts w:ascii="Aptos" w:cs="Aptos" w:eastAsia="Aptos" w:hAnsi="Aptos"/>
          <w:color w:val="1E2833"/>
          <w:sz w:val="20"/>
          <w:szCs w:val="20"/>
        </w:rPr>
        <w:t xml:space="preserve">It applies to the Academy's governing persons, all Academy staff and contractors, and the members of the Academy Quality Committee. It gives effect to Quality Area 4 of the Outcome Standards (Standards 4.1 to 4.4), the Compliance Standards (sections 15 to 20) and the Fit and Proper Person Requirements in Schedule 1 of the Compliance Standards.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Governing persons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executive officer and the high managerial agents of the RTO: the people with authority over its management and direction.</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Executive officer</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 Chief Executive Officer of SteelRiver Logistics Pty Ltd.</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High managerial agents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Lila Petrov, Head of People and Culture, and Gemma Whitfield, Academy Manager.</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Compliance calendar</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yearly list of compliance tasks, owners and due dates (section 7).</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 register</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record of risks to learners, staff and its compliance, with ratings, controls and owners (section 8).</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Continuous improvement register</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record of improvement actions from every source, with owner, due date and status (section 9). The year-end extract is SRA-RTO-039.</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Material change</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event or change that would significantly affect the Academy's ability to comply with the Standards, or a change of governing person.</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Self-assurance review</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own annual check of its compliance against the Standards and its policies, done before the annual declaration.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Governing persons and accountability</w:t>
      </w:r>
    </w:p>
    <w:p>
      <w:pPr>
        <w:spacing w:before="0" w:after="120" w:line="276"/>
      </w:pPr>
      <w:r>
        <w:rPr>
          <w:rFonts w:ascii="Aptos" w:cs="Aptos" w:eastAsia="Aptos" w:hAnsi="Aptos"/>
          <w:color w:val="1E2833"/>
          <w:sz w:val="20"/>
          <w:szCs w:val="20"/>
        </w:rPr>
        <w:t xml:space="preserve">The governing persons are accountable for the Academy's compliance with the Standards and for the quality of its training and assessment (Standard 4.1). They lead a culture in which learners come first, staff raise problems early and the Academy is honest with TAC.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400"/>
        <w:gridCol w:w="43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w:t>
            </w:r>
          </w:p>
        </w:tc>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4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Accountable for</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Executive officer (CEO, SteelRiver Logistics)</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Signs the annual declaration on compliance on Lila Petrov's recommendation; makes sure the Academy is resourced; approves any change of governing person</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w:t>
            </w:r>
          </w:p>
        </w:tc>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managerial agent (Head of People and Culture); executive sponsor; SteelRiver Privacy Officer</w:t>
            </w:r>
          </w:p>
        </w:tc>
        <w:tc>
          <w:tcPr>
            <w:tcW w:type="dxa" w:w="4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Oversight of the Academy within People and Culture; recommends the annual declaration; privacy of learner records; final internal decision on a complaint about the Academy Manager</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managerial agent (Academy Manager)</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Day-to-day management of the RTO; TAC liaison; budget; approves policies, procedures and TAS changes; chairs the Quality Committee; final internal decision on appeals</w:t>
            </w:r>
          </w:p>
        </w:tc>
      </w:tr>
    </w:tbl>
    <w:p>
      <w:pPr>
        <w:keepNext/>
        <w:spacing w:before="200" w:after="80"/>
      </w:pPr>
      <w:r>
        <w:rPr>
          <w:rFonts w:ascii="Aptos Display" w:cs="Aptos Display" w:eastAsia="Aptos Display" w:hAnsi="Aptos Display"/>
          <w:b/>
          <w:bCs/>
          <w:color w:val="4F7F80"/>
          <w:sz w:val="24"/>
          <w:szCs w:val="24"/>
        </w:rPr>
        <w:t xml:space="preserve">3.1 Who approves what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Decision</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policies and procedures (SRA-RTO-001 to SRA-RTO-010)</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and assessment strategy (SRA-RTO-011) and any change to it</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after the Lead Trainer's review</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Delivery plans and session plans; changes to approved content, sequence, duration or assessment links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Lead Trainer and Assessor (recorded on the continuous improvement register)</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or changed assessment tools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 signed by Rohan Desai (SRA-RTO-003, SRA-RTO-004)</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Spending from the Academy budget, including staff development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(budget holder)</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declaration on compliance</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change to scope of registration, or a new governing person</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 on Lila Petrov's recommendation; TAC notified (section 7)</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Fit and proper person checks</w:t>
      </w:r>
    </w:p>
    <w:p>
      <w:pPr>
        <w:spacing w:before="0" w:after="120" w:line="276"/>
      </w:pPr>
      <w:r>
        <w:rPr>
          <w:rFonts w:ascii="Aptos" w:cs="Aptos" w:eastAsia="Aptos" w:hAnsi="Aptos"/>
          <w:color w:val="1E2833"/>
          <w:sz w:val="20"/>
          <w:szCs w:val="20"/>
        </w:rPr>
        <w:t xml:space="preserve">Every governing person must meet the Fit and Proper Person Requirements in Schedule 1 of the Compliance Standards. The Academy checks this before a person becomes a governing person, and again each year before the annual declaration.</w:t>
      </w:r>
    </w:p>
    <w:p>
      <w:pPr>
        <w:pStyle w:val="ListParagraph"/>
        <w:numPr>
          <w:ilvl w:val="0"/>
          <w:numId w:val="2"/>
        </w:numPr>
        <w:spacing w:after="60" w:line="264"/>
      </w:pPr>
      <w:r>
        <w:rPr>
          <w:rFonts w:ascii="Aptos" w:cs="Aptos" w:eastAsia="Aptos" w:hAnsi="Aptos"/>
          <w:color w:val="1E2833"/>
          <w:sz w:val="20"/>
          <w:szCs w:val="20"/>
        </w:rPr>
        <w:t xml:space="preserve">Each governing person completes a written fit and proper person declaration covering the matters in Schedule 1 (for example criminal convictions, insolvency, disqualification from managing a corporation, past involvement in an RTO whose registration was cancelled or refused, and any adverse finding by a regulator).</w:t>
      </w:r>
    </w:p>
    <w:p>
      <w:pPr>
        <w:pStyle w:val="ListParagraph"/>
        <w:numPr>
          <w:ilvl w:val="0"/>
          <w:numId w:val="2"/>
        </w:numPr>
        <w:spacing w:after="60" w:line="264"/>
      </w:pPr>
      <w:r>
        <w:rPr>
          <w:rFonts w:ascii="Aptos" w:cs="Aptos" w:eastAsia="Aptos" w:hAnsi="Aptos"/>
          <w:color w:val="1E2833"/>
          <w:sz w:val="20"/>
          <w:szCs w:val="20"/>
        </w:rPr>
        <w:t xml:space="preserve">People and Culture obtains a current National Police Certificate and checks the public registers that apply (for example the banned and disqualified persons register and the insolvency register).</w:t>
      </w:r>
    </w:p>
    <w:p>
      <w:pPr>
        <w:pStyle w:val="ListParagraph"/>
        <w:numPr>
          <w:ilvl w:val="0"/>
          <w:numId w:val="2"/>
        </w:numPr>
        <w:spacing w:after="60" w:line="264"/>
      </w:pPr>
      <w:r>
        <w:rPr>
          <w:rFonts w:ascii="Aptos" w:cs="Aptos" w:eastAsia="Aptos" w:hAnsi="Aptos"/>
          <w:color w:val="1E2833"/>
          <w:sz w:val="20"/>
          <w:szCs w:val="20"/>
        </w:rPr>
        <w:t xml:space="preserve">Gemma Whitfield records the checks and Lila Petrov reviews them. Anything that might affect fitness is referred to Rajesh Iyengar and, where required, disclosed to TAC.</w:t>
      </w:r>
    </w:p>
    <w:p>
      <w:pPr>
        <w:pStyle w:val="ListParagraph"/>
        <w:numPr>
          <w:ilvl w:val="0"/>
          <w:numId w:val="2"/>
        </w:numPr>
        <w:spacing w:after="60" w:line="264"/>
      </w:pPr>
      <w:r>
        <w:rPr>
          <w:rFonts w:ascii="Aptos" w:cs="Aptos" w:eastAsia="Aptos" w:hAnsi="Aptos"/>
          <w:color w:val="1E2833"/>
          <w:sz w:val="20"/>
          <w:szCs w:val="20"/>
        </w:rPr>
        <w:t xml:space="preserve">A governing person tells Gemma Whitfield (or, for Gemma, Lila Petrov) at once if their circumstances change.</w:t>
      </w:r>
    </w:p>
    <w:p>
      <w:pPr>
        <w:pStyle w:val="ListParagraph"/>
        <w:numPr>
          <w:ilvl w:val="0"/>
          <w:numId w:val="2"/>
        </w:numPr>
        <w:spacing w:after="60" w:line="264"/>
      </w:pPr>
      <w:r>
        <w:rPr>
          <w:rFonts w:ascii="Aptos" w:cs="Aptos" w:eastAsia="Aptos" w:hAnsi="Aptos"/>
          <w:color w:val="1E2833"/>
          <w:sz w:val="20"/>
          <w:szCs w:val="20"/>
        </w:rPr>
        <w:t xml:space="preserve">Declarations and check records are kept confidentially by People and Culture under SRL-CR-018 and SRL-CR-019.</w:t>
      </w:r>
    </w:p>
    <w:p>
      <w:pPr>
        <w:spacing w:before="120" w:after="120" w:line="276"/>
      </w:pPr>
      <w:r>
        <w:rPr>
          <w:rFonts w:ascii="Aptos" w:cs="Aptos" w:eastAsia="Aptos" w:hAnsi="Aptos"/>
          <w:color w:val="1E2833"/>
          <w:sz w:val="20"/>
          <w:szCs w:val="20"/>
        </w:rPr>
        <w:t xml:space="preserve">Before a planned change of governing person, TAC is told in advance (Compliance Standards s16). The arrival of a new trainer does not trigger this; a new Academy Manager would.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Conflicts of interest and integrity</w:t>
      </w:r>
    </w:p>
    <w:p>
      <w:pPr>
        <w:pStyle w:val="ListParagraph"/>
        <w:numPr>
          <w:ilvl w:val="0"/>
          <w:numId w:val="3"/>
        </w:numPr>
        <w:spacing w:after="60" w:line="264"/>
      </w:pPr>
      <w:r>
        <w:rPr>
          <w:rFonts w:ascii="Aptos" w:cs="Aptos" w:eastAsia="Aptos" w:hAnsi="Aptos"/>
          <w:color w:val="1E2833"/>
          <w:sz w:val="20"/>
          <w:szCs w:val="20"/>
        </w:rPr>
        <w:t xml:space="preserve">Academy staff follow SRL-CR-020 Code of Conduct. Any actual, potential or perceived conflict of interest is declared to Gemma Whitfield and recorded on the risk register.</w:t>
      </w:r>
    </w:p>
    <w:p>
      <w:pPr>
        <w:pStyle w:val="ListParagraph"/>
        <w:numPr>
          <w:ilvl w:val="0"/>
          <w:numId w:val="3"/>
        </w:numPr>
        <w:spacing w:after="60" w:line="264"/>
      </w:pPr>
      <w:r>
        <w:rPr>
          <w:rFonts w:ascii="Aptos" w:cs="Aptos" w:eastAsia="Aptos" w:hAnsi="Aptos"/>
          <w:color w:val="1E2833"/>
          <w:sz w:val="20"/>
          <w:szCs w:val="20"/>
        </w:rPr>
        <w:t xml:space="preserve">Gifts or hospitality over $100 are declared. Nothing is accepted from a business that is being considered as a supplier, for example of learning resources.</w:t>
      </w:r>
    </w:p>
    <w:p>
      <w:pPr>
        <w:pStyle w:val="ListParagraph"/>
        <w:numPr>
          <w:ilvl w:val="0"/>
          <w:numId w:val="3"/>
        </w:numPr>
        <w:spacing w:after="60" w:line="264"/>
      </w:pPr>
      <w:r>
        <w:rPr>
          <w:rFonts w:ascii="Aptos" w:cs="Aptos" w:eastAsia="Aptos" w:hAnsi="Aptos"/>
          <w:color w:val="1E2833"/>
          <w:sz w:val="20"/>
          <w:szCs w:val="20"/>
        </w:rPr>
        <w:t xml:space="preserve">No one assesses, validates or decides a complaint or appeal about their own work, a family member or a close friend. Validators declare their interests at the start of each validation meeting (SRA-RTO-004).</w:t>
      </w:r>
    </w:p>
    <w:p>
      <w:pPr>
        <w:pStyle w:val="ListParagraph"/>
        <w:numPr>
          <w:ilvl w:val="0"/>
          <w:numId w:val="3"/>
        </w:numPr>
        <w:spacing w:after="60" w:line="264"/>
      </w:pPr>
      <w:r>
        <w:rPr>
          <w:rFonts w:ascii="Aptos" w:cs="Aptos" w:eastAsia="Aptos" w:hAnsi="Aptos"/>
          <w:color w:val="1E2833"/>
          <w:sz w:val="20"/>
          <w:szCs w:val="20"/>
        </w:rPr>
        <w:t xml:space="preserve">Assessment decisions are never changed to meet an operational target or a request from a manager. Pressure to do so is reported to Gemma Whitfield.</w:t>
      </w:r>
    </w:p>
    <w:p>
      <w:pPr>
        <w:pStyle w:val="ListParagraph"/>
        <w:numPr>
          <w:ilvl w:val="0"/>
          <w:numId w:val="3"/>
        </w:numPr>
        <w:spacing w:after="60" w:line="264"/>
      </w:pPr>
      <w:r>
        <w:rPr>
          <w:rFonts w:ascii="Aptos" w:cs="Aptos" w:eastAsia="Aptos" w:hAnsi="Aptos"/>
          <w:color w:val="1E2833"/>
          <w:sz w:val="20"/>
          <w:szCs w:val="20"/>
        </w:rPr>
        <w:t xml:space="preserve">No one signs a record for work they did not do or see.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Academy Quality Committee: terms of reference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52"/>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Terms of reference</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Purpose</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To oversee the quality and compliance of the Academy's training and assessment, review performance and risk, and decide and track improvement actions (Standards 4.1 to 4.4).</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Members</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 Academy Manager (chair); Rohan Desai, Quality and Compliance Coordinator (secretary); Craig Moretti, Lead Trainer and Assessor; Leanne Okafor, Trainer and Assessor and LLN lead; the Trainer and Assessor (TA-03) (from January 2026); Anna Kowalski, HR Business Partner; Michael Tran, Operations Manager (operations representative). Others attend by invitation.</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Meetings</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first Wednesday of every second month, 10:00 to 11:30, Training Room 1. Members on shift may join on Teams. The chair may call an extra meeting for an urgent matter.</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Quorum</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chair (or Rohan Desai acting for her), at least one trainer and assessor, and one of Anna Kowalski or Michael Tran.</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Standing agenda</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Compliance calendar. 2. Validation schedule, validation outcomes and the tool feedback log. 3. Complaints and appeals. 4. Learner feedback. 5. Industry engagement. 6. Continuous improvement register. 7. Trainer currency. 8. Risk register.</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Decisions</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By agreement. Where members cannot agree, the chair decides and the different views are minuted. Decisions about policy, the TAS or the budget remain with the Academy Manager.</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Reporting</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circulates the agenda and papers a week before each meeting and the minutes and action list within 5 business days after it. The chair reports to Lila Petrov after each meeting.</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Records</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Agendas, papers and minutes are kept in the Academy SharePoint quality folder under SRL-CR-019.</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Compliance obligations and calendar</w:t>
      </w:r>
    </w:p>
    <w:p>
      <w:pPr>
        <w:spacing w:before="0" w:after="120" w:line="276"/>
      </w:pPr>
      <w:r>
        <w:rPr>
          <w:rFonts w:ascii="Aptos" w:cs="Aptos" w:eastAsia="Aptos" w:hAnsi="Aptos"/>
          <w:color w:val="1E2833"/>
          <w:sz w:val="20"/>
          <w:szCs w:val="20"/>
        </w:rPr>
        <w:t xml:space="preserve">Rohan Desai keeps the compliance calendar and reports on it at every Quality Committee meeting. Each obligation has an owner.</w:t>
      </w:r>
    </w:p>
    <w:p>
      <w:pPr>
        <w:keepNext/>
        <w:spacing w:before="200" w:after="80"/>
      </w:pPr>
      <w:r>
        <w:rPr>
          <w:rFonts w:ascii="Aptos Display" w:cs="Aptos Display" w:eastAsia="Aptos Display" w:hAnsi="Aptos Display"/>
          <w:b/>
          <w:bCs/>
          <w:color w:val="4F7F80"/>
          <w:sz w:val="24"/>
          <w:szCs w:val="24"/>
        </w:rPr>
        <w:t xml:space="preserve">7.1 Ongoing obligations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300"/>
        <w:gridCol w:w="18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Obligation</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Academy does</w:t>
            </w:r>
          </w:p>
        </w:tc>
        <w:tc>
          <w:tcPr>
            <w:tcW w:type="dxa" w:w="1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Marketing and information (Compliance Standards s7)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flyer, intranet page and learner document shows "RTO 99999 (simulated)" and the training product code and title as on training.gov.au; no misleading claims</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Certification (s9 and s11)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Testamur or Statement of Attainment within 30 calendar days of the final assessment; documents show the RTO name, code and logo and the NRT logo; no apprenticeship statement (no learner is in an Australian Apprenticeship)</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Records (s10)</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Certification records kept 30 years; completed assessment evidence kept 2 years after the learner completes the training product</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Unique Student Identifier (s12)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 verified before use; never printed on a certificate</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Material changes (s16)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TAC told within 10 business days of any event that would significantly affect compliance, and before any planned change of governing person</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Third party arrangements (s17)</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All training and assessment is by Academy employees. Any proposal for a third party arrangement needs the Academy Manager's approval and notice to TAC before it starts</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Insurance (s19)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Public liability cover under the SteelRiver group policy, checked each year</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(s20)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Personal information handled under SRL-CR-018 and the Privacy Act 1988; Lila Petrov is the Privacy Officer</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products</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Changes to TLI30325 and its units on training.gov.au checked each quarter; the TAS and tools updated under SRA-RTO-011 and SRA-RTO-003</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Trainer credentials and currency</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Credentials matrix (SRA-RTO-041) checked before each intake and whenever staff change (SRA-RTO-009)</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p>
      <w:pPr>
        <w:keepNext/>
        <w:spacing w:before="200" w:after="80"/>
      </w:pPr>
      <w:r>
        <w:rPr>
          <w:rFonts w:ascii="Aptos Display" w:cs="Aptos Display" w:eastAsia="Aptos Display" w:hAnsi="Aptos Display"/>
          <w:b/>
          <w:bCs/>
          <w:color w:val="4F7F80"/>
          <w:sz w:val="24"/>
          <w:szCs w:val="24"/>
        </w:rPr>
        <w:t xml:space="preserve">7.2 Yearly calendar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300"/>
        <w:gridCol w:w="18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w:t>
            </w:r>
          </w:p>
        </w:tc>
        <w:tc>
          <w:tcPr>
            <w:tcW w:type="dxa" w:w="1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Trainer PD plans agreed for the year (SRA-RTO-009); learner survey results reported to the Quality Committee</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Rohan Desai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Early in the year, by the due date set</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AVETMISS data for the previous calendar year submitted under the Data Provision Requirements</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 review (every 12 months, and sooner after a training product change, industry feedback, a validation finding or a change to SteelRiver procedures) (SRA-RTO-011)</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set in SRA-RTO-031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reviews of new or changed tools and post-use validation (SRA-RTO-004)</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and November</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engagement sessions with Perth DC operations and WHS (SRA-RTO-014)</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Six-monthly review of trainer PD plans</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October</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self-assurance review: sample learner files, trainer files and assessment records against the Standards and Academy policies</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November</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Insurance cover confirmed; fit and proper person declarations renewed (section 4)</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December</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learner survey; review of all Academy policies due for review</w:t>
            </w:r>
          </w:p>
        </w:tc>
        <w:tc>
          <w:tcPr>
            <w:tcW w:type="dxa" w:w="1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year, by the date TAC sets</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declaration on compliance (Compliance Standards s15), signed by Rajesh Iyengar on Lila Petrov's recommendation, after the self-assurance review</w:t>
            </w:r>
          </w:p>
        </w:tc>
        <w:tc>
          <w:tcPr>
            <w:tcW w:type="dxa" w:w="1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Risk management</w:t>
      </w:r>
    </w:p>
    <w:p>
      <w:pPr>
        <w:spacing w:before="0" w:after="120" w:line="276"/>
      </w:pPr>
      <w:r>
        <w:rPr>
          <w:rFonts w:ascii="Aptos" w:cs="Aptos" w:eastAsia="Aptos" w:hAnsi="Aptos"/>
          <w:color w:val="1E2833"/>
          <w:sz w:val="20"/>
          <w:szCs w:val="20"/>
        </w:rPr>
        <w:t xml:space="preserve">The Academy identifies, rates, controls and reviews risks to learners, staff and its compliance (Standard 4.3), using the SteelRiver Risk Management Framework (SRL-CR-013) and its risk matrix. Rohan Desai keeps the Academy risk register. The Quality Committee reviews it at every meeting, and any High risk is reported to Lila Petrov.</w:t>
      </w:r>
    </w:p>
    <w:p>
      <w:pPr>
        <w:spacing w:before="0" w:after="120" w:line="276"/>
      </w:pPr>
      <w:r>
        <w:rPr>
          <w:rFonts w:ascii="Aptos" w:cs="Aptos" w:eastAsia="Aptos" w:hAnsi="Aptos"/>
          <w:color w:val="1E2833"/>
          <w:sz w:val="20"/>
          <w:szCs w:val="20"/>
        </w:rPr>
        <w:t xml:space="preserve">The register covers at least: risks to learners (safety on the live floor, learners with limited English, wellbeing); staff (trainer numbers, credentials and currency); conflicts of interest; learners under 18; and compliance (assessment, certification and records).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4800"/>
        <w:gridCol w:w="17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 (register at 1 January 2026)</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controls</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learner is hurt while learning on the live floor</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units first in the TAS; site rules and SteelRiver procedures; buddy on every shift; no plant without task training and sign-off; no individual targets in the first 8 weeks</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is invalid because a tool was not reviewed or is out of date</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 of every new or changed tool; tool feedback log; validation schedule (SRA-RTO-003, SRA-RTO-004)</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person under direction makes or signs a judgement</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Direction rules (SRA-RTO-003 s3, SRA-RTO-009); direction recorded; Competency Judgement Record signed only by the assessor</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Certificates are issued late</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Results to Student Services within 5 business days; weekly certification check (CI-2025-06)</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are kept on the floor instead of attending rostered training</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Release roster agreed with Operations for each intake (CI-2025-03); make-up sessions in paid time</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with limited English or literacy cannot access training or assessment</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Pre-training review and LLN support plans; picture cards; interpreters; plain-English summaries (CI-2025-04) (SRA-RTO-006)</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trainer's industry currency or credential falls short</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Credentials matrix; annual PD plan with at least 20 hours; floor shifts; gaps recorded with a plan (SRA-RTO-009)</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personal information is disclosed</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Need-to-know sharing; records only in the SMS; SRL-CR-018</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conflict of interest affects a decision</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Declarations (section 5); independent people for validation and appeals</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learner under 18 is enrolled without the right safeguards</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with Children Checks for trainers before contact; risk assessment for each under-18 learner; child safe rules in SRA-RTO-006 (Standard 4.3(2)(d)). No learner under 18 is enrolled at 1 January 2026</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Continuous improvement</w:t>
      </w:r>
    </w:p>
    <w:p>
      <w:pPr>
        <w:spacing w:before="0" w:after="120" w:line="276"/>
      </w:pPr>
      <w:r>
        <w:rPr>
          <w:rFonts w:ascii="Aptos" w:cs="Aptos" w:eastAsia="Aptos" w:hAnsi="Aptos"/>
          <w:color w:val="1E2833"/>
          <w:sz w:val="20"/>
          <w:szCs w:val="20"/>
        </w:rPr>
        <w:t xml:space="preserve">The Academy uses what it learns from learners, supervisors, industry, validation, audits, complaints and its own staff to improve training, assessment and support (Standard 4.4). Every improvement action goes on the continuous improvement register, kept by Rohan Desai.</w:t>
      </w:r>
    </w:p>
    <w:p>
      <w:pPr>
        <w:keepNext/>
        <w:spacing w:before="200" w:after="80"/>
      </w:pPr>
      <w:r>
        <w:rPr>
          <w:rFonts w:ascii="Aptos Display" w:cs="Aptos Display" w:eastAsia="Aptos Display" w:hAnsi="Aptos Display"/>
          <w:b/>
          <w:bCs/>
          <w:color w:val="4F7F80"/>
          <w:sz w:val="24"/>
          <w:szCs w:val="24"/>
        </w:rPr>
        <w:t xml:space="preserve">9.1 Sources of improvement</w:t>
      </w:r>
    </w:p>
    <w:p>
      <w:pPr>
        <w:pStyle w:val="ListParagraph"/>
        <w:numPr>
          <w:ilvl w:val="0"/>
          <w:numId w:val="3"/>
        </w:numPr>
        <w:spacing w:after="60" w:line="264"/>
      </w:pPr>
      <w:r>
        <w:rPr>
          <w:rFonts w:ascii="Aptos" w:cs="Aptos" w:eastAsia="Aptos" w:hAnsi="Aptos"/>
          <w:color w:val="1E2833"/>
          <w:sz w:val="20"/>
          <w:szCs w:val="20"/>
        </w:rPr>
        <w:t xml:space="preserve">Annual learner survey (December), with a picture-scale version and an oral option.</w:t>
      </w:r>
    </w:p>
    <w:p>
      <w:pPr>
        <w:pStyle w:val="ListParagraph"/>
        <w:numPr>
          <w:ilvl w:val="0"/>
          <w:numId w:val="3"/>
        </w:numPr>
        <w:spacing w:after="60" w:line="264"/>
      </w:pPr>
      <w:r>
        <w:rPr>
          <w:rFonts w:ascii="Aptos" w:cs="Aptos" w:eastAsia="Aptos" w:hAnsi="Aptos"/>
          <w:color w:val="1E2833"/>
          <w:sz w:val="20"/>
          <w:szCs w:val="20"/>
        </w:rPr>
        <w:t xml:space="preserve">Learner feedback after training sessions and work skill instructions (SRA-RTO-045).</w:t>
      </w:r>
    </w:p>
    <w:p>
      <w:pPr>
        <w:pStyle w:val="ListParagraph"/>
        <w:numPr>
          <w:ilvl w:val="0"/>
          <w:numId w:val="3"/>
        </w:numPr>
        <w:spacing w:after="60" w:line="264"/>
      </w:pPr>
      <w:r>
        <w:rPr>
          <w:rFonts w:ascii="Aptos" w:cs="Aptos" w:eastAsia="Aptos" w:hAnsi="Aptos"/>
          <w:color w:val="1E2833"/>
          <w:sz w:val="20"/>
          <w:szCs w:val="20"/>
        </w:rPr>
        <w:t xml:space="preserve">Candidate Assessment Feedback Form after each unit assessment (SRA-RTO-030).</w:t>
      </w:r>
    </w:p>
    <w:p>
      <w:pPr>
        <w:pStyle w:val="ListParagraph"/>
        <w:numPr>
          <w:ilvl w:val="0"/>
          <w:numId w:val="3"/>
        </w:numPr>
        <w:spacing w:after="60" w:line="264"/>
      </w:pPr>
      <w:r>
        <w:rPr>
          <w:rFonts w:ascii="Aptos" w:cs="Aptos" w:eastAsia="Aptos" w:hAnsi="Aptos"/>
          <w:color w:val="1E2833"/>
          <w:sz w:val="20"/>
          <w:szCs w:val="20"/>
        </w:rPr>
        <w:t xml:space="preserve">Complaints and appeals (SRA-RTO-008), recorded in the register.</w:t>
      </w:r>
    </w:p>
    <w:p>
      <w:pPr>
        <w:pStyle w:val="ListParagraph"/>
        <w:numPr>
          <w:ilvl w:val="0"/>
          <w:numId w:val="3"/>
        </w:numPr>
        <w:spacing w:after="60" w:line="264"/>
      </w:pPr>
      <w:r>
        <w:rPr>
          <w:rFonts w:ascii="Aptos" w:cs="Aptos" w:eastAsia="Aptos" w:hAnsi="Aptos"/>
          <w:color w:val="1E2833"/>
          <w:sz w:val="20"/>
          <w:szCs w:val="20"/>
        </w:rPr>
        <w:t xml:space="preserve">Supervisor and industry feedback through the industry engagement sessions (SRA-RTO-014).</w:t>
      </w:r>
    </w:p>
    <w:p>
      <w:pPr>
        <w:pStyle w:val="ListParagraph"/>
        <w:numPr>
          <w:ilvl w:val="0"/>
          <w:numId w:val="3"/>
        </w:numPr>
        <w:spacing w:after="60" w:line="264"/>
      </w:pPr>
      <w:r>
        <w:rPr>
          <w:rFonts w:ascii="Aptos" w:cs="Aptos" w:eastAsia="Aptos" w:hAnsi="Aptos"/>
          <w:color w:val="1E2833"/>
          <w:sz w:val="20"/>
          <w:szCs w:val="20"/>
        </w:rPr>
        <w:t xml:space="preserve">Validation outcomes, moderation findings and the tool feedback log (SRA-RTO-003, SRA-RTO-004).</w:t>
      </w:r>
    </w:p>
    <w:p>
      <w:pPr>
        <w:pStyle w:val="ListParagraph"/>
        <w:numPr>
          <w:ilvl w:val="0"/>
          <w:numId w:val="3"/>
        </w:numPr>
        <w:spacing w:after="60" w:line="264"/>
      </w:pPr>
      <w:r>
        <w:rPr>
          <w:rFonts w:ascii="Aptos" w:cs="Aptos" w:eastAsia="Aptos" w:hAnsi="Aptos"/>
          <w:color w:val="1E2833"/>
          <w:sz w:val="20"/>
          <w:szCs w:val="20"/>
        </w:rPr>
        <w:t xml:space="preserve">Internal audit, the self-assurance review and TAC feedback.</w:t>
      </w:r>
    </w:p>
    <w:p>
      <w:pPr>
        <w:pStyle w:val="ListParagraph"/>
        <w:numPr>
          <w:ilvl w:val="0"/>
          <w:numId w:val="3"/>
        </w:numPr>
        <w:spacing w:after="60" w:line="264"/>
      </w:pPr>
      <w:r>
        <w:rPr>
          <w:rFonts w:ascii="Aptos" w:cs="Aptos" w:eastAsia="Aptos" w:hAnsi="Aptos"/>
          <w:color w:val="1E2833"/>
          <w:sz w:val="20"/>
          <w:szCs w:val="20"/>
        </w:rPr>
        <w:t xml:space="preserve">Trainer reflections and suggestions, including changes to plans or resources beyond a trainer's own customisation (SRA-RTO-011 section 9).</w:t>
      </w:r>
    </w:p>
    <w:p>
      <w:pPr>
        <w:keepNext/>
        <w:spacing w:before="200" w:after="80"/>
      </w:pPr>
      <w:r>
        <w:rPr>
          <w:rFonts w:ascii="Aptos Display" w:cs="Aptos Display" w:eastAsia="Aptos Display" w:hAnsi="Aptos Display"/>
          <w:b/>
          <w:bCs/>
          <w:color w:val="4F7F80"/>
          <w:sz w:val="24"/>
          <w:szCs w:val="24"/>
        </w:rPr>
        <w:t xml:space="preserve">9.2 The improvement cycle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6000"/>
        <w:gridCol w:w="23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Record</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issue or idea is entered on the register within 5 business days, numbered CI-year-number (for example CI-2026-01), with its source and the date</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person who raises it, through Rohan Desai</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Assess</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cause and the effect on learners and compliance are assessed; the action, owner and due date are agreed</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with the owner</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Act</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owner makes the change (for example to a tool, a resource, a plan, a procedure or a practice) under the document control rules (SRL-CR-019)</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Owner</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Check</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owner shows whether the change worked, using a measure agreed in step 2 (for example the next survey result or validation sample)</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Owner</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Close</w:t>
            </w:r>
          </w:p>
        </w:tc>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Quality Committee reviews the evidence and closes the action, or keeps it open with a new date</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Quality Committee</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Share</w:t>
            </w:r>
          </w:p>
        </w:tc>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Changes are explained to trainers, supervisors and learners as needed; the year's register is summarised at 31 December (SRA-RTO-039)</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p>
      <w:pPr>
        <w:keepNext/>
        <w:spacing w:before="200" w:after="80"/>
      </w:pPr>
      <w:r>
        <w:rPr>
          <w:rFonts w:ascii="Aptos Display" w:cs="Aptos Display" w:eastAsia="Aptos Display" w:hAnsi="Aptos Display"/>
          <w:b/>
          <w:bCs/>
          <w:color w:val="4F7F80"/>
          <w:sz w:val="24"/>
          <w:szCs w:val="24"/>
        </w:rPr>
        <w:t xml:space="preserve">9.3 What the register records</w:t>
      </w:r>
    </w:p>
    <w:p>
      <w:pPr>
        <w:spacing w:before="0" w:after="120" w:line="276"/>
      </w:pPr>
      <w:r>
        <w:rPr>
          <w:rFonts w:ascii="Aptos" w:cs="Aptos" w:eastAsia="Aptos" w:hAnsi="Aptos"/>
          <w:color w:val="1E2833"/>
          <w:sz w:val="20"/>
          <w:szCs w:val="20"/>
        </w:rPr>
        <w:t xml:space="preserve">Reference number; date raised; source (for example complaint C-2025-02 or the learner survey); description; action; owner; due date; status (open, in progress, complete); evidence that the action worked; date closed and Quality Committee meeting.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Records</w:t>
      </w:r>
    </w:p>
    <w:p>
      <w:pPr>
        <w:pStyle w:val="ListParagraph"/>
        <w:numPr>
          <w:ilvl w:val="0"/>
          <w:numId w:val="3"/>
        </w:numPr>
        <w:spacing w:after="60" w:line="264"/>
      </w:pPr>
      <w:r>
        <w:rPr>
          <w:rFonts w:ascii="Aptos" w:cs="Aptos" w:eastAsia="Aptos" w:hAnsi="Aptos"/>
          <w:color w:val="1E2833"/>
          <w:sz w:val="20"/>
          <w:szCs w:val="20"/>
        </w:rPr>
        <w:t xml:space="preserve">Quality Committee papers and minutes, the risk register, the continuous improvement register, the compliance calendar, fit and proper person records and self-assurance review reports are kept under SRL-CR-019 in the Academy SharePoint quality folder.</w:t>
      </w:r>
    </w:p>
    <w:p>
      <w:pPr>
        <w:pStyle w:val="ListParagraph"/>
        <w:numPr>
          <w:ilvl w:val="0"/>
          <w:numId w:val="3"/>
        </w:numPr>
        <w:spacing w:after="60" w:line="264"/>
      </w:pPr>
      <w:r>
        <w:rPr>
          <w:rFonts w:ascii="Aptos" w:cs="Aptos" w:eastAsia="Aptos" w:hAnsi="Aptos"/>
          <w:color w:val="1E2833"/>
          <w:sz w:val="20"/>
          <w:szCs w:val="20"/>
        </w:rPr>
        <w:t xml:space="preserve">Personal information in these records is handled under SRL-CR-018 Information Privacy and Confidentiality Policy (Compliance Standards s20).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Governing persons (Rajesh Iyengar, Lila Petrov, Gemma Whitfield)</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Accountability for compliance and quality; fit and proper person declarations; the annual declaration</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chairs the Quality Committee; TAC liaison and notifications; approves policies and the TAS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Secretary of the Quality Committee; keeps the compliance calendar, risk register and continuous improvement register; AVETMISS data; internal audit and the self-assurance review</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TAS review; approves plan changes; leads improvement actions in training and assessment practice</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All Academy staff</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Raise risks, problems and ideas; declare conflicts of interest; complete assigned actions by the due date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Related documents</w:t>
      </w:r>
    </w:p>
    <w:p>
      <w:pPr>
        <w:pStyle w:val="ListParagraph"/>
        <w:numPr>
          <w:ilvl w:val="0"/>
          <w:numId w:val="3"/>
        </w:numPr>
        <w:spacing w:after="60" w:line="264"/>
      </w:pPr>
      <w:r>
        <w:rPr>
          <w:rFonts w:ascii="Aptos" w:cs="Aptos" w:eastAsia="Aptos" w:hAnsi="Aptos"/>
          <w:color w:val="1E2833"/>
          <w:sz w:val="20"/>
          <w:szCs w:val="20"/>
        </w:rPr>
        <w:t xml:space="preserve">SRA-RTO-001 SteelRiver Academy Overview</w:t>
      </w:r>
    </w:p>
    <w:p>
      <w:pPr>
        <w:pStyle w:val="ListParagraph"/>
        <w:numPr>
          <w:ilvl w:val="0"/>
          <w:numId w:val="3"/>
        </w:numPr>
        <w:spacing w:after="60" w:line="264"/>
      </w:pPr>
      <w:r>
        <w:rPr>
          <w:rFonts w:ascii="Aptos" w:cs="Aptos" w:eastAsia="Aptos" w:hAnsi="Aptos"/>
          <w:color w:val="1E2833"/>
          <w:sz w:val="20"/>
          <w:szCs w:val="20"/>
        </w:rPr>
        <w:t xml:space="preserve">SRA-RTO-003 Assessment Policy and Procedure; SRA-RTO-004 Validation Policy and Procedure</w:t>
      </w:r>
    </w:p>
    <w:p>
      <w:pPr>
        <w:pStyle w:val="ListParagraph"/>
        <w:numPr>
          <w:ilvl w:val="0"/>
          <w:numId w:val="3"/>
        </w:numPr>
        <w:spacing w:after="60" w:line="264"/>
      </w:pPr>
      <w:r>
        <w:rPr>
          <w:rFonts w:ascii="Aptos" w:cs="Aptos" w:eastAsia="Aptos" w:hAnsi="Aptos"/>
          <w:color w:val="1E2833"/>
          <w:sz w:val="20"/>
          <w:szCs w:val="20"/>
        </w:rPr>
        <w:t xml:space="preserve">SRA-RTO-006 Language, Literacy, Numeracy and Learner Support Policy; SRA-RTO-008 Complaints and Appeals Policy and Procedure</w:t>
      </w:r>
    </w:p>
    <w:p>
      <w:pPr>
        <w:pStyle w:val="ListParagraph"/>
        <w:numPr>
          <w:ilvl w:val="0"/>
          <w:numId w:val="3"/>
        </w:numPr>
        <w:spacing w:after="60" w:line="264"/>
      </w:pPr>
      <w:r>
        <w:rPr>
          <w:rFonts w:ascii="Aptos" w:cs="Aptos" w:eastAsia="Aptos" w:hAnsi="Aptos"/>
          <w:color w:val="1E2833"/>
          <w:sz w:val="20"/>
          <w:szCs w:val="20"/>
        </w:rPr>
        <w:t xml:space="preserve">SRA-RTO-009 Trainer and Assessor Credentials, Currency and Professional Development Policy</w:t>
      </w:r>
    </w:p>
    <w:p>
      <w:pPr>
        <w:pStyle w:val="ListParagraph"/>
        <w:numPr>
          <w:ilvl w:val="0"/>
          <w:numId w:val="3"/>
        </w:numPr>
        <w:spacing w:after="60" w:line="264"/>
      </w:pPr>
      <w:r>
        <w:rPr>
          <w:rFonts w:ascii="Aptos" w:cs="Aptos" w:eastAsia="Aptos" w:hAnsi="Aptos"/>
          <w:color w:val="1E2833"/>
          <w:sz w:val="20"/>
          <w:szCs w:val="20"/>
        </w:rPr>
        <w:t xml:space="preserve">SRA-RTO-011 Training and Assessment Strategy: TLI30325 Certificate III in Supply Chain Operations (Warehousing Operations)</w:t>
      </w:r>
    </w:p>
    <w:p>
      <w:pPr>
        <w:pStyle w:val="ListParagraph"/>
        <w:numPr>
          <w:ilvl w:val="0"/>
          <w:numId w:val="3"/>
        </w:numPr>
        <w:spacing w:after="60" w:line="264"/>
      </w:pPr>
      <w:r>
        <w:rPr>
          <w:rFonts w:ascii="Aptos" w:cs="Aptos" w:eastAsia="Aptos" w:hAnsi="Aptos"/>
          <w:color w:val="1E2833"/>
          <w:sz w:val="20"/>
          <w:szCs w:val="20"/>
        </w:rPr>
        <w:t xml:space="preserve">SRA-RTO-014 Industry Engagement Record 2025 to 2026; SRA-RTO-031 Validation Schedule 2026 to 2030; SRA-RTO-039 Complaints, Appeals and Continuous Improvement Register Extract</w:t>
      </w:r>
    </w:p>
    <w:p>
      <w:pPr>
        <w:pStyle w:val="ListParagraph"/>
        <w:numPr>
          <w:ilvl w:val="0"/>
          <w:numId w:val="3"/>
        </w:numPr>
        <w:spacing w:after="60" w:line="264"/>
      </w:pPr>
      <w:r>
        <w:rPr>
          <w:rFonts w:ascii="Aptos" w:cs="Aptos" w:eastAsia="Aptos" w:hAnsi="Aptos"/>
          <w:color w:val="1E2833"/>
          <w:sz w:val="20"/>
          <w:szCs w:val="20"/>
        </w:rPr>
        <w:t xml:space="preserve">SRL-CR-013 Risk Management Framework (Risk Management Plan); SRL-CR-018 Information Privacy and Confidentiality Policy; SRL-CR-019 Document Control and Records Management Policy (incl. Records Retention Schedule); SRL-CR-020 Code of Conduct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Standards and legislation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00"/>
        <w:gridCol w:w="3952"/>
      </w:tblGrid>
      <w:tr>
        <w:trPr>
          <w:cantSplit/>
          <w:tblHeader/>
        </w:trPr>
        <w:tc>
          <w:tcPr>
            <w:tcW w:type="dxa" w:w="5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5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4.1: leadership and accountability of governing persons</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to 5</w:t>
            </w:r>
          </w:p>
        </w:tc>
      </w:tr>
      <w:tr>
        <w:trPr>
          <w:cantSplit/>
        </w:trPr>
        <w:tc>
          <w:tcPr>
            <w:tcW w:type="dxa" w:w="5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4.2: roles, responsibilities and accountability of staff</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6 and 11</w:t>
            </w:r>
          </w:p>
        </w:tc>
      </w:tr>
      <w:tr>
        <w:trPr>
          <w:cantSplit/>
        </w:trPr>
        <w:tc>
          <w:tcPr>
            <w:tcW w:type="dxa" w:w="5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4.3: risk management, including risks to learners under 18 (4.3(2)(d))</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8</w:t>
            </w:r>
          </w:p>
        </w:tc>
      </w:tr>
      <w:tr>
        <w:trPr>
          <w:cantSplit/>
        </w:trPr>
        <w:tc>
          <w:tcPr>
            <w:tcW w:type="dxa" w:w="5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4.4: continuous improvement</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9</w:t>
            </w:r>
          </w:p>
        </w:tc>
      </w:tr>
      <w:tr>
        <w:trPr>
          <w:cantSplit/>
        </w:trPr>
        <w:tc>
          <w:tcPr>
            <w:tcW w:type="dxa" w:w="5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ss15 to 20 and Schedule 1 (Fit and Proper Person Requirements)</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and 7</w:t>
            </w:r>
          </w:p>
        </w:tc>
      </w:tr>
      <w:tr>
        <w:trPr>
          <w:cantSplit/>
        </w:trPr>
        <w:tc>
          <w:tcPr>
            <w:tcW w:type="dxa" w:w="5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ss7, 9 to 12</w:t>
            </w:r>
          </w:p>
        </w:tc>
        <w:tc>
          <w:tcPr>
            <w:tcW w:type="dxa" w:w="3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7.1</w:t>
            </w:r>
          </w:p>
        </w:tc>
      </w:tr>
      <w:tr>
        <w:trPr>
          <w:cantSplit/>
        </w:trPr>
        <w:tc>
          <w:tcPr>
            <w:tcW w:type="dxa" w:w="5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Vocational Education and Training Act 1996 (WA); Privacy Act 1988</w:t>
            </w: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1, 7 and 10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(TAC-registered RTOs from 1 January 2026): governing persons and fit and proper person checks under Compliance Standards Schedule 1; compliance calendar updated to Compliance Standards ss7 to 20; risk register extended to conflicts of interest and learners under 18; Quality Committee membership updated.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Continuous improvement register numbering introduced (CI-year-number).</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SRA-RTO-002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SRA-RTO-002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SRA-RTO-002  ·  Governance, Compliance and Continuous Improvement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SRA-RTO-002 Governance, Compliance and Continuous Improvement Policy</dc:title>
  <dc:creator>SteelRiver Logistics Pty Ltd trading as SteelRiver Academy</dc:creator>
  <cp:lastModifiedBy>Un-named</cp:lastModifiedBy>
  <cp:revision>1</cp:revision>
  <dcterms:created xsi:type="dcterms:W3CDTF">2026-11-01T14:49:45.561Z</dcterms:created>
  <dcterms:modified xsi:type="dcterms:W3CDTF">2026-11-01T14:49:45.561Z</dcterms:modified>
</cp:coreProperties>
</file>

<file path=docProps/custom.xml><?xml version="1.0" encoding="utf-8"?>
<Properties xmlns="http://schemas.openxmlformats.org/officeDocument/2006/custom-properties" xmlns:vt="http://schemas.openxmlformats.org/officeDocument/2006/docPropsVTypes"/>
</file>