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POLICY</w:t>
            </w:r>
          </w:p>
          <w:p>
            <w:pPr>
              <w:spacing w:after="0"/>
              <w:jc w:val="right"/>
            </w:pPr>
            <w:r>
              <w:rPr>
                <w:rFonts w:ascii="Aptos Display" w:cs="Aptos Display" w:eastAsia="Aptos Display" w:hAnsi="Aptos Display"/>
                <w:b/>
                <w:bCs/>
                <w:color w:val="0E4D4F"/>
                <w:sz w:val="36"/>
                <w:szCs w:val="36"/>
              </w:rPr>
              <w:t xml:space="preserve">SRA-RTO-003</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Assessment Policy and Procedure</w:t>
      </w:r>
    </w:p>
    <w:p>
      <w:pPr>
        <w:spacing w:before="0" w:after="160" w:line="276"/>
      </w:pPr>
      <w:r>
        <w:rPr>
          <w:rFonts w:ascii="Aptos" w:cs="Aptos" w:eastAsia="Aptos" w:hAnsi="Aptos"/>
          <w:color w:val="4F7F80"/>
          <w:sz w:val="24"/>
          <w:szCs w:val="24"/>
        </w:rPr>
        <w:t xml:space="preserve">How SteelRiver Academy plans, conducts, records, moderates and reviews assessment, and how it develops its assessment tools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SRA-RTO-003</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January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January 2027</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Academy assessors, people working under direction, tool developers, workplace supervisors who report on learners, and Academy candidates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 and scope</w:t>
      </w:r>
    </w:p>
    <w:p>
      <w:pPr>
        <w:spacing w:before="0" w:after="120" w:line="276"/>
      </w:pPr>
      <w:r>
        <w:rPr>
          <w:rFonts w:ascii="Aptos" w:cs="Aptos" w:eastAsia="Aptos" w:hAnsi="Aptos"/>
          <w:color w:val="1E2833"/>
          <w:sz w:val="20"/>
          <w:szCs w:val="20"/>
        </w:rPr>
        <w:t xml:space="preserve">SteelRiver Academy (the Academy) assesses learners to decide whether they are competent in the units of TLI30325 Certificate III in Supply Chain Operations. A learner's result affects their job, their safety on the warehouse floor and the value of the qualification to SteelRiver. This policy and procedure sets out how the Academy makes sure every assessment is fair, valid and consistent with the training product, and that every judgement can be relied on.</w:t>
      </w:r>
    </w:p>
    <w:p>
      <w:pPr>
        <w:spacing w:before="0" w:after="120" w:line="276"/>
      </w:pPr>
      <w:r>
        <w:rPr>
          <w:rFonts w:ascii="Aptos" w:cs="Aptos" w:eastAsia="Aptos" w:hAnsi="Aptos"/>
          <w:color w:val="1E2833"/>
          <w:sz w:val="20"/>
          <w:szCs w:val="20"/>
        </w:rPr>
        <w:t xml:space="preserve">It applies to:</w:t>
      </w:r>
    </w:p>
    <w:p>
      <w:pPr>
        <w:pStyle w:val="ListParagraph"/>
        <w:numPr>
          <w:ilvl w:val="0"/>
          <w:numId w:val="2"/>
        </w:numPr>
        <w:spacing w:after="60" w:line="264"/>
      </w:pPr>
      <w:r>
        <w:rPr>
          <w:rFonts w:ascii="Aptos" w:cs="Aptos" w:eastAsia="Aptos" w:hAnsi="Aptos"/>
          <w:color w:val="1E2833"/>
          <w:sz w:val="20"/>
          <w:szCs w:val="20"/>
        </w:rPr>
        <w:t xml:space="preserve">every assessment of a TLI30325 unit, whether a learner is enrolled in the full qualification through the Warehouse Skills Program, in a single unit (Statement of Attainment), or is seeking recognition of prior learning (RPL);</w:t>
      </w:r>
    </w:p>
    <w:p>
      <w:pPr>
        <w:pStyle w:val="ListParagraph"/>
        <w:numPr>
          <w:ilvl w:val="0"/>
          <w:numId w:val="2"/>
        </w:numPr>
        <w:spacing w:after="60" w:line="264"/>
      </w:pPr>
      <w:r>
        <w:rPr>
          <w:rFonts w:ascii="Aptos" w:cs="Aptos" w:eastAsia="Aptos" w:hAnsi="Aptos"/>
          <w:color w:val="1E2833"/>
          <w:sz w:val="20"/>
          <w:szCs w:val="20"/>
        </w:rPr>
        <w:t xml:space="preserve">every Academy assessor, every person who conducts assessment or collects evidence under direction, and every person who develops or changes an Academy assessment tool;</w:t>
      </w:r>
    </w:p>
    <w:p>
      <w:pPr>
        <w:pStyle w:val="ListParagraph"/>
        <w:numPr>
          <w:ilvl w:val="0"/>
          <w:numId w:val="2"/>
        </w:numPr>
        <w:spacing w:after="60" w:line="264"/>
      </w:pPr>
      <w:r>
        <w:rPr>
          <w:rFonts w:ascii="Aptos" w:cs="Aptos" w:eastAsia="Aptos" w:hAnsi="Aptos"/>
          <w:color w:val="1E2833"/>
          <w:sz w:val="20"/>
          <w:szCs w:val="20"/>
        </w:rPr>
        <w:t xml:space="preserve">SteelRiver workplace supervisors and leads who observe learners and complete supervisor reports (third party evidence). They support assessment but never make assessment judgements.</w:t>
      </w:r>
    </w:p>
    <w:p>
      <w:pPr>
        <w:spacing w:before="0" w:after="120" w:line="276"/>
      </w:pPr>
      <w:r>
        <w:rPr>
          <w:rFonts w:ascii="Aptos" w:cs="Aptos" w:eastAsia="Aptos" w:hAnsi="Aptos"/>
          <w:color w:val="1E2833"/>
          <w:sz w:val="20"/>
          <w:szCs w:val="20"/>
        </w:rPr>
        <w:t xml:space="preserve">RPL and credit transfer are decided under SRA-RTO-005, using the rules in this policy. Validation is covered by SRA-RTO-004. Appeals against assessment decisions are handled under SRA-RTO-008.</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Principles, rules of evidence and methods</w:t>
      </w:r>
    </w:p>
    <w:p>
      <w:pPr>
        <w:spacing w:before="0" w:after="120" w:line="276"/>
      </w:pPr>
      <w:r>
        <w:rPr>
          <w:rFonts w:ascii="Aptos" w:cs="Aptos" w:eastAsia="Aptos" w:hAnsi="Aptos"/>
          <w:color w:val="1E2833"/>
          <w:sz w:val="20"/>
          <w:szCs w:val="20"/>
        </w:rPr>
        <w:t xml:space="preserve">Assessment at the Academy meets Standard 1.4 of the Standards for RTOs 2025 (the Registration Standards 2025, as applied by the Training Accreditation Council (TAC)). Every tool is designed so that assessment can be conducted in line with the principles of assessment and the rules of evidence (Standard 1.3), and every assessor applies them on the day.</w:t>
      </w:r>
    </w:p>
    <w:p>
      <w:pPr>
        <w:keepNext/>
        <w:spacing w:before="200" w:after="80"/>
      </w:pPr>
      <w:r>
        <w:rPr>
          <w:rFonts w:ascii="Aptos Display" w:cs="Aptos Display" w:eastAsia="Aptos Display" w:hAnsi="Aptos Display"/>
          <w:b/>
          <w:bCs/>
          <w:color w:val="4F7F80"/>
          <w:sz w:val="24"/>
          <w:szCs w:val="24"/>
        </w:rPr>
        <w:t xml:space="preserve">2.1 Principles of assessment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7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Principle</w:t>
            </w:r>
          </w:p>
        </w:tc>
        <w:tc>
          <w:tcPr>
            <w:tcW w:type="dxa" w:w="7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means at the Academy</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Fairness</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candidate knows what will be assessed, when, where and how, and agrees to it. The individual needs of the candidate are considered (for example language, literacy and numeracy, disability, shift pattern) and reasonable adjustments are made (section 6). The candidate can appeal any decision (SRA-RTO-008).</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Flexibility</w:t>
            </w:r>
          </w:p>
        </w:tc>
        <w:tc>
          <w:tcPr>
            <w:tcW w:type="dxa" w:w="7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Assessment draws on a range of methods suited to the candidate and the work, and recognises skills however they were gained, including through RPL. Tasks are set in the candidate's own work area and shift where the unit allows.</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Validity</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Every element, performance criterion, performance evidence, knowledge evidence and assessment condition of the unit is assessed, as shown in the tool's mapping. The candidate shows the skills in situations like the real Perth DC work, and the judgement rests on evidence of performance.</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Reliability</w:t>
            </w:r>
          </w:p>
        </w:tc>
        <w:tc>
          <w:tcPr>
            <w:tcW w:type="dxa" w:w="7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Instructions, benchmarks and marking guides are clear enough that two assessors looking at the same evidence reach the same decision. Moderation (section 9) and validation (SRA-RTO-004) check this.</w:t>
            </w:r>
          </w:p>
        </w:tc>
      </w:tr>
    </w:tbl>
    <w:p>
      <w:pPr>
        <w:keepNext/>
        <w:spacing w:before="200" w:after="80"/>
      </w:pPr>
      <w:r>
        <w:rPr>
          <w:rFonts w:ascii="Aptos Display" w:cs="Aptos Display" w:eastAsia="Aptos Display" w:hAnsi="Aptos Display"/>
          <w:b/>
          <w:bCs/>
          <w:color w:val="4F7F80"/>
          <w:sz w:val="24"/>
          <w:szCs w:val="24"/>
        </w:rPr>
        <w:t xml:space="preserve">2.2 Rules of evidence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7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Rule</w:t>
            </w:r>
          </w:p>
        </w:tc>
        <w:tc>
          <w:tcPr>
            <w:tcW w:type="dxa" w:w="7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 assessor checks</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Validity</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evidence shows the skills, knowledge and application described in the unit and its assessment requirements, not something else.</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Sufficiency</w:t>
            </w:r>
          </w:p>
        </w:tc>
        <w:tc>
          <w:tcPr>
            <w:tcW w:type="dxa" w:w="7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There is enough evidence, of the right quality and over enough occasions, to judge competence across every requirement. One item cannot be stretched to cover a requirement it does not show.</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Authenticity</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evidence is the candidate's own work. Assessors observe directly, ask follow-up questions, verify third party evidence with its author, and have the candidate sign the declaration on the assessment record.</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Currency</w:t>
            </w:r>
          </w:p>
        </w:tc>
        <w:tc>
          <w:tcPr>
            <w:tcW w:type="dxa" w:w="7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evidence shows the candidate's current skills and knowledge. For RPL, evidence is generally from the last 2 years; older evidence is used only with proof of current practice (SRA-RTO-005).</w:t>
            </w:r>
          </w:p>
        </w:tc>
      </w:tr>
    </w:tbl>
    <w:p>
      <w:pPr>
        <w:keepNext/>
        <w:spacing w:before="200" w:after="80"/>
      </w:pPr>
      <w:r>
        <w:rPr>
          <w:rFonts w:ascii="Aptos Display" w:cs="Aptos Display" w:eastAsia="Aptos Display" w:hAnsi="Aptos Display"/>
          <w:b/>
          <w:bCs/>
          <w:color w:val="4F7F80"/>
          <w:sz w:val="24"/>
          <w:szCs w:val="24"/>
        </w:rPr>
        <w:t xml:space="preserve">2.3 Assessment methods used at the Academy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Method</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it is used in the warehouse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Observation</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Academy assessor observes the candidate doing real tasks on their own shift, with real SteelRiver loads, equipment and procedures (for example a team lift, putaway to row-bay-level locations, a pallet jack move). Observation is the main method for practical requirements.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Questioning</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Knowledge questions in written, oral or picture-supported form. Oral answers are recorded verbatim or close to verbatim. Follow-up questions are neutral (section 7).</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Supervisor report (third party evidence)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shift supervisor or lead reports on the candidate's work over time on the tool's supervisor report, guided by SRA-RTO-029. It supports the assessor's evidence and never replaces observation of an observed task.</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Work samples and products</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Documents the candidate produced at work, such as receiving records, damage and discrepancy reports, hazard reports or a workplace project, checked for authenticity.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RPL</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portfolio, a competency conversation, a practical demonstration and third party verification, using an Academy RPL kit (SRA-RTO-005, SRA-RTO-024).</w:t>
            </w:r>
          </w:p>
        </w:tc>
      </w:tr>
    </w:tbl>
    <w:p>
      <w:pPr>
        <w:keepNext/>
        <w:spacing w:before="200" w:after="80"/>
      </w:pPr>
      <w:r>
        <w:rPr>
          <w:rFonts w:ascii="Aptos Display" w:cs="Aptos Display" w:eastAsia="Aptos Display" w:hAnsi="Aptos Display"/>
          <w:b/>
          <w:bCs/>
          <w:color w:val="4F7F80"/>
          <w:sz w:val="24"/>
          <w:szCs w:val="24"/>
        </w:rPr>
        <w:t xml:space="preserve">2.4 Definitions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Assessment system</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Academy's policies, procedures, tools, records and quality checks for planning, conducting, recording and reviewing assessment. It is set out in this document and the documents it links to (section 16).</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Assessment tool</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instruments and instructions used to gather and judge evidence for a unit: instructions for candidate and assessor, tasks, questions and benchmarks, observation checklist, supervisor report, marking guide, Customisation and Adjustment Record, assessment record and mapping.</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Pre-use review</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Academy's check of every new or changed tool before it is first used, signed by the Quality and Compliance Coordinator (Standard 1.3; section 4 and section 13 step 10; SRA-RTO-004 section 7).</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Under direction</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person who holds a credential in Credential Policy 1C (working towards TAE40122 or TAE50122) or 1D (an approved skill set) may train, conduct assessment and collect evidence while directed by a person who meets Credential Policy 1E. They never make assessment judgements.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Moderation</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check of a proposed judgement by a second credentialed assessor before it is finalised (section 9). It is different from validation, which reviews the assessment system after use (SRA-RTO-004).</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Competency Judgement Record (CJR)</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part of each tool's assessment record where the unit judgement is made, reasoned and signed.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Who may assess</w:t>
      </w:r>
    </w:p>
    <w:p>
      <w:pPr>
        <w:spacing w:before="0" w:after="120" w:line="276"/>
      </w:pPr>
      <w:r>
        <w:rPr>
          <w:rFonts w:ascii="Aptos" w:cs="Aptos" w:eastAsia="Aptos" w:hAnsi="Aptos"/>
          <w:color w:val="1E2833"/>
          <w:sz w:val="20"/>
          <w:szCs w:val="20"/>
        </w:rPr>
        <w:t xml:space="preserve">Assessment judgements are made only by assessors who hold a credential in Credential Policy 1A, the vocational competency for the unit and current industry skills (Standard 3.3). People under direction (Credential Policy 1C or 1D) may conduct assessment and collect evidence; the directing assessor makes and signs the judgement. Workplace supervisors observe and report but never judge.</w:t>
      </w:r>
    </w:p>
    <w:p>
      <w:pPr>
        <w:pStyle w:val="ListParagraph"/>
        <w:numPr>
          <w:ilvl w:val="0"/>
          <w:numId w:val="2"/>
        </w:numPr>
        <w:spacing w:after="60" w:line="264"/>
      </w:pPr>
      <w:r>
        <w:rPr>
          <w:rFonts w:ascii="Aptos" w:cs="Aptos" w:eastAsia="Aptos" w:hAnsi="Aptos"/>
          <w:color w:val="1E2833"/>
          <w:sz w:val="20"/>
          <w:szCs w:val="20"/>
        </w:rPr>
        <w:t xml:space="preserve">Each assessor's credential, vocational competency and industry currency for each unit is recorded in the Trainer and Assessor Credentials Matrix (SRA-RTO-041) and maintained under SRA-RTO-009. An assessor assesses a unit only where the matrix shows all three.</w:t>
      </w:r>
    </w:p>
    <w:p>
      <w:pPr>
        <w:pStyle w:val="ListParagraph"/>
        <w:numPr>
          <w:ilvl w:val="0"/>
          <w:numId w:val="2"/>
        </w:numPr>
        <w:spacing w:after="60" w:line="264"/>
      </w:pPr>
      <w:r>
        <w:rPr>
          <w:rFonts w:ascii="Aptos" w:cs="Aptos" w:eastAsia="Aptos" w:hAnsi="Aptos"/>
          <w:color w:val="1E2833"/>
          <w:sz w:val="20"/>
          <w:szCs w:val="20"/>
        </w:rPr>
        <w:t xml:space="preserve">Direction is given only by a person who meets Credential Policy 1E. The directing assessor oversees the work, checks the evidence the person under direction has collected, and makes and signs every judgement on that evidence (Standard 3.2(2)(b)).</w:t>
      </w:r>
    </w:p>
    <w:p>
      <w:pPr>
        <w:pStyle w:val="ListParagraph"/>
        <w:numPr>
          <w:ilvl w:val="0"/>
          <w:numId w:val="2"/>
        </w:numPr>
        <w:spacing w:after="60" w:line="264"/>
      </w:pPr>
      <w:r>
        <w:rPr>
          <w:rFonts w:ascii="Aptos" w:cs="Aptos" w:eastAsia="Aptos" w:hAnsi="Aptos"/>
          <w:color w:val="1E2833"/>
          <w:sz w:val="20"/>
          <w:szCs w:val="20"/>
        </w:rPr>
        <w:t xml:space="preserve">A person under direction never writes a judgement on a record, never signs a Competency Judgement Record and never tells a candidate that they are competent or not yet competent. They hand the evidence to the directing assessor.</w:t>
      </w:r>
    </w:p>
    <w:p>
      <w:pPr>
        <w:pStyle w:val="ListParagraph"/>
        <w:numPr>
          <w:ilvl w:val="0"/>
          <w:numId w:val="2"/>
        </w:numPr>
        <w:spacing w:after="60" w:line="264"/>
      </w:pPr>
      <w:r>
        <w:rPr>
          <w:rFonts w:ascii="Aptos" w:cs="Aptos" w:eastAsia="Aptos" w:hAnsi="Aptos"/>
          <w:color w:val="1E2833"/>
          <w:sz w:val="20"/>
          <w:szCs w:val="20"/>
        </w:rPr>
        <w:t xml:space="preserve">Direction is recorded: the directing assessor's name is on the assessment record of every candidate whose evidence the person under direction collected, and the direction arrangement is noted in SRA-RTO-041.</w:t>
      </w:r>
    </w:p>
    <w:p>
      <w:pPr>
        <w:pStyle w:val="ListParagraph"/>
        <w:numPr>
          <w:ilvl w:val="0"/>
          <w:numId w:val="2"/>
        </w:numPr>
        <w:spacing w:after="60" w:line="264"/>
      </w:pPr>
      <w:r>
        <w:rPr>
          <w:rFonts w:ascii="Aptos" w:cs="Aptos" w:eastAsia="Aptos" w:hAnsi="Aptos"/>
          <w:color w:val="1E2833"/>
          <w:sz w:val="20"/>
          <w:szCs w:val="20"/>
        </w:rPr>
        <w:t xml:space="preserve">No one signs a judgement on evidence they did not observe or review, including when asked to by a colleague.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Tools</w:t>
      </w:r>
    </w:p>
    <w:p>
      <w:pPr>
        <w:spacing w:before="0" w:after="120" w:line="276"/>
      </w:pPr>
      <w:r>
        <w:rPr>
          <w:rFonts w:ascii="Aptos" w:cs="Aptos" w:eastAsia="Aptos" w:hAnsi="Aptos"/>
          <w:color w:val="1E2833"/>
          <w:sz w:val="20"/>
          <w:szCs w:val="20"/>
        </w:rPr>
        <w:t xml:space="preserve">Only the current version of an Academy tool is used, and only after its pre-use review (Standard 1.3). Check the version and review date on the tool cover before use. Report any problem found in a tool to Rohan Desai on the tool feedback log; do not change a tool yourself.</w:t>
      </w:r>
    </w:p>
    <w:p>
      <w:pPr>
        <w:pStyle w:val="ListParagraph"/>
        <w:numPr>
          <w:ilvl w:val="0"/>
          <w:numId w:val="2"/>
        </w:numPr>
        <w:spacing w:after="60" w:line="264"/>
      </w:pPr>
      <w:r>
        <w:rPr>
          <w:rFonts w:ascii="Aptos" w:cs="Aptos" w:eastAsia="Aptos" w:hAnsi="Aptos"/>
          <w:color w:val="1E2833"/>
          <w:sz w:val="20"/>
          <w:szCs w:val="20"/>
        </w:rPr>
        <w:t xml:space="preserve">Every new or changed tool has a pre-use review signed by Rohan Desai before it is first used, and the review outcome changes the tool where needed (section 13 step 10; SRA-RTO-004 section 7). A changed tool includes a changed picture card, question, benchmark or supervisor report prompt.</w:t>
      </w:r>
    </w:p>
    <w:p>
      <w:pPr>
        <w:pStyle w:val="ListParagraph"/>
        <w:numPr>
          <w:ilvl w:val="0"/>
          <w:numId w:val="2"/>
        </w:numPr>
        <w:spacing w:after="60" w:line="264"/>
      </w:pPr>
      <w:r>
        <w:rPr>
          <w:rFonts w:ascii="Aptos" w:cs="Aptos" w:eastAsia="Aptos" w:hAnsi="Aptos"/>
          <w:color w:val="1E2833"/>
          <w:sz w:val="20"/>
          <w:szCs w:val="20"/>
        </w:rPr>
        <w:t xml:space="preserve">Use the tool as written, including its instructions to assessors: for example observing over the full shift where the tool says so, and using the prepared contingency where none occurs naturally.</w:t>
      </w:r>
    </w:p>
    <w:p>
      <w:pPr>
        <w:pStyle w:val="ListParagraph"/>
        <w:numPr>
          <w:ilvl w:val="0"/>
          <w:numId w:val="2"/>
        </w:numPr>
        <w:spacing w:after="60" w:line="264"/>
      </w:pPr>
      <w:r>
        <w:rPr>
          <w:rFonts w:ascii="Aptos" w:cs="Aptos" w:eastAsia="Aptos" w:hAnsi="Aptos"/>
          <w:color w:val="1E2833"/>
          <w:sz w:val="20"/>
          <w:szCs w:val="20"/>
        </w:rPr>
        <w:t xml:space="preserve">Approved tools are kept in the Academy tool library on the Academy site. Marking guides are for assessors only. Earlier drafts are archived and not used.</w:t>
      </w:r>
    </w:p>
    <w:p>
      <w:pPr>
        <w:pStyle w:val="ListParagraph"/>
        <w:numPr>
          <w:ilvl w:val="0"/>
          <w:numId w:val="2"/>
        </w:numPr>
        <w:spacing w:after="60" w:line="264"/>
      </w:pPr>
      <w:r>
        <w:rPr>
          <w:rFonts w:ascii="Aptos" w:cs="Aptos" w:eastAsia="Aptos" w:hAnsi="Aptos"/>
          <w:color w:val="1E2833"/>
          <w:sz w:val="20"/>
          <w:szCs w:val="20"/>
        </w:rPr>
        <w:t xml:space="preserve">Rohan Desai keeps the tool feedback log. Entries are reviewed at each Quality Committee meeting and feed the validation schedule (SRA-RTO-031).</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Information to candidates</w:t>
      </w:r>
    </w:p>
    <w:p>
      <w:pPr>
        <w:spacing w:before="0" w:after="120" w:line="276"/>
      </w:pPr>
      <w:r>
        <w:rPr>
          <w:rFonts w:ascii="Aptos" w:cs="Aptos" w:eastAsia="Aptos" w:hAnsi="Aptos"/>
          <w:color w:val="1E2833"/>
          <w:sz w:val="20"/>
          <w:szCs w:val="20"/>
        </w:rPr>
        <w:t xml:space="preserve">Give each candidate written notice of what, when, where and how they will be assessed at least 5 business days before the first assessment event. Hold a pre-assessment briefing: explain the process, the standard (the unit and what Satisfactory looks like), any customisation or adjustment, the right to appeal (SRA-RTO-008), and check the candidate understands, agrees and is ready. Record the briefing on the tool's assessment record; the candidate signs or, if they cannot write in English, the assessor records their spoken agreement.</w:t>
      </w:r>
    </w:p>
    <w:p>
      <w:pPr>
        <w:pStyle w:val="ListParagraph"/>
        <w:numPr>
          <w:ilvl w:val="0"/>
          <w:numId w:val="2"/>
        </w:numPr>
        <w:spacing w:after="60" w:line="264"/>
      </w:pPr>
      <w:r>
        <w:rPr>
          <w:rFonts w:ascii="Aptos" w:cs="Aptos" w:eastAsia="Aptos" w:hAnsi="Aptos"/>
          <w:color w:val="1E2833"/>
          <w:sz w:val="20"/>
          <w:szCs w:val="20"/>
        </w:rPr>
        <w:t xml:space="preserve">Notices are given in a form the candidate can use: picture-supported, read aloud, in large print or explained with an interpreter, as their LLN support plan (SRA-RTO-006) says.</w:t>
      </w:r>
    </w:p>
    <w:p>
      <w:pPr>
        <w:pStyle w:val="ListParagraph"/>
        <w:numPr>
          <w:ilvl w:val="0"/>
          <w:numId w:val="2"/>
        </w:numPr>
        <w:spacing w:after="60" w:line="264"/>
      </w:pPr>
      <w:r>
        <w:rPr>
          <w:rFonts w:ascii="Aptos" w:cs="Aptos" w:eastAsia="Aptos" w:hAnsi="Aptos"/>
          <w:color w:val="1E2833"/>
          <w:sz w:val="20"/>
          <w:szCs w:val="20"/>
        </w:rPr>
        <w:t xml:space="preserve">The briefing is held on paid time, on or next to the candidate's shift, and the supervisor is told the date of any workplace assessment so the candidate can be released.</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Customisation and reasonable adjustment</w:t>
      </w:r>
    </w:p>
    <w:p>
      <w:pPr>
        <w:spacing w:before="0" w:after="120" w:line="276"/>
      </w:pPr>
      <w:r>
        <w:rPr>
          <w:rFonts w:ascii="Aptos" w:cs="Aptos" w:eastAsia="Aptos" w:hAnsi="Aptos"/>
          <w:color w:val="1E2833"/>
          <w:sz w:val="20"/>
          <w:szCs w:val="20"/>
        </w:rPr>
        <w:t xml:space="preserve">The assessor may contextualise tasks (loads, locations, equipment, team members) to the candidate's work area, and use the oral and picture-supported versions of the knowledge questions. Reasonable adjustments for disability are agreed with the candidate and Leanne Okafor (LLN lead) (Standard 2.4). Adjustments may change how evidence is gathered (format, time, setting, support), never what the unit requires. Record every change on the Customisation and Adjustment Record in Part 6 of the tool before the assessment, and review it if the candidate's needs change.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76"/>
        <w:gridCol w:w="4876"/>
      </w:tblGrid>
      <w:tr>
        <w:trPr>
          <w:cantSplit/>
          <w:tblHeader/>
        </w:trPr>
        <w:tc>
          <w:tcPr>
            <w:tcW w:type="dxa" w:w="487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May change (how evidence is gathered)</w:t>
            </w:r>
          </w:p>
        </w:tc>
        <w:tc>
          <w:tcPr>
            <w:tcW w:type="dxa" w:w="487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May not change (what the unit requires)</w:t>
            </w:r>
          </w:p>
        </w:tc>
      </w:tr>
      <w:tr>
        <w:trPr>
          <w:cantSplit/>
        </w:trPr>
        <w:tc>
          <w:tcPr>
            <w:tcW w:type="dxa" w:w="487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pStyle w:val="ListParagraph"/>
              <w:numPr>
                <w:ilvl w:val="0"/>
                <w:numId w:val="2"/>
              </w:numPr>
              <w:spacing w:after="30" w:line="252"/>
            </w:pPr>
            <w:r>
              <w:rPr>
                <w:rFonts w:ascii="Aptos" w:cs="Aptos" w:eastAsia="Aptos" w:hAnsi="Aptos"/>
                <w:color w:val="1E2833"/>
                <w:sz w:val="20"/>
                <w:szCs w:val="20"/>
              </w:rPr>
              <w:t xml:space="preserve">Format: oral questions with answers recorded verbatim; picture-supported questions; large print or single-column instructions</w:t>
            </w:r>
          </w:p>
          <w:p>
            <w:pPr>
              <w:pStyle w:val="ListParagraph"/>
              <w:numPr>
                <w:ilvl w:val="0"/>
                <w:numId w:val="2"/>
              </w:numPr>
              <w:spacing w:after="30" w:line="252"/>
            </w:pPr>
            <w:r>
              <w:rPr>
                <w:rFonts w:ascii="Aptos" w:cs="Aptos" w:eastAsia="Aptos" w:hAnsi="Aptos"/>
                <w:color w:val="1E2833"/>
                <w:sz w:val="20"/>
                <w:szCs w:val="20"/>
              </w:rPr>
              <w:t xml:space="preserve">Time: extra time, up to double time</w:t>
            </w:r>
          </w:p>
          <w:p>
            <w:pPr>
              <w:pStyle w:val="ListParagraph"/>
              <w:numPr>
                <w:ilvl w:val="0"/>
                <w:numId w:val="2"/>
              </w:numPr>
              <w:spacing w:after="30" w:line="252"/>
            </w:pPr>
            <w:r>
              <w:rPr>
                <w:rFonts w:ascii="Aptos" w:cs="Aptos" w:eastAsia="Aptos" w:hAnsi="Aptos"/>
                <w:color w:val="1E2833"/>
                <w:sz w:val="20"/>
                <w:szCs w:val="20"/>
              </w:rPr>
              <w:t xml:space="preserve">Setting: a quiet room for questioning; the candidate's own shift and work area</w:t>
            </w:r>
          </w:p>
          <w:p>
            <w:pPr>
              <w:pStyle w:val="ListParagraph"/>
              <w:numPr>
                <w:ilvl w:val="0"/>
                <w:numId w:val="2"/>
              </w:numPr>
              <w:spacing w:after="30" w:line="252"/>
            </w:pPr>
            <w:r>
              <w:rPr>
                <w:rFonts w:ascii="Aptos" w:cs="Aptos" w:eastAsia="Aptos" w:hAnsi="Aptos"/>
                <w:color w:val="1E2833"/>
                <w:sz w:val="20"/>
                <w:szCs w:val="20"/>
              </w:rPr>
              <w:t xml:space="preserve">Support: a certified interpreter; a reader for written instructions; instructions given ahead of time</w:t>
            </w:r>
          </w:p>
          <w:p>
            <w:pPr>
              <w:pStyle w:val="ListParagraph"/>
              <w:numPr>
                <w:ilvl w:val="0"/>
                <w:numId w:val="2"/>
              </w:numPr>
              <w:spacing w:after="30" w:line="252"/>
            </w:pPr>
            <w:r>
              <w:rPr>
                <w:rFonts w:ascii="Aptos" w:cs="Aptos" w:eastAsia="Aptos" w:hAnsi="Aptos"/>
                <w:color w:val="1E2833"/>
                <w:sz w:val="20"/>
                <w:szCs w:val="20"/>
              </w:rPr>
              <w:t xml:space="preserve">Context: loads, locations, equipment and team members from the candidate's work area</w:t>
            </w:r>
          </w:p>
        </w:tc>
        <w:tc>
          <w:tcPr>
            <w:tcW w:type="dxa" w:w="487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pStyle w:val="ListParagraph"/>
              <w:numPr>
                <w:ilvl w:val="0"/>
                <w:numId w:val="2"/>
              </w:numPr>
              <w:spacing w:after="30" w:line="252"/>
            </w:pPr>
            <w:r>
              <w:rPr>
                <w:rFonts w:ascii="Aptos" w:cs="Aptos" w:eastAsia="Aptos" w:hAnsi="Aptos"/>
                <w:color w:val="1E2833"/>
                <w:sz w:val="20"/>
                <w:szCs w:val="20"/>
              </w:rPr>
              <w:t xml:space="preserve">Any element, performance criterion, performance evidence or knowledge evidence</w:t>
            </w:r>
          </w:p>
          <w:p>
            <w:pPr>
              <w:pStyle w:val="ListParagraph"/>
              <w:numPr>
                <w:ilvl w:val="0"/>
                <w:numId w:val="2"/>
              </w:numPr>
              <w:spacing w:after="30" w:line="252"/>
            </w:pPr>
            <w:r>
              <w:rPr>
                <w:rFonts w:ascii="Aptos" w:cs="Aptos" w:eastAsia="Aptos" w:hAnsi="Aptos"/>
                <w:color w:val="1E2833"/>
                <w:sz w:val="20"/>
                <w:szCs w:val="20"/>
              </w:rPr>
              <w:t xml:space="preserve">The assessment conditions in the unit (for example a real workplace, real loads)</w:t>
            </w:r>
          </w:p>
          <w:p>
            <w:pPr>
              <w:pStyle w:val="ListParagraph"/>
              <w:numPr>
                <w:ilvl w:val="0"/>
                <w:numId w:val="2"/>
              </w:numPr>
              <w:spacing w:after="30" w:line="252"/>
            </w:pPr>
            <w:r>
              <w:rPr>
                <w:rFonts w:ascii="Aptos" w:cs="Aptos" w:eastAsia="Aptos" w:hAnsi="Aptos"/>
                <w:color w:val="1E2833"/>
                <w:sz w:val="20"/>
                <w:szCs w:val="20"/>
              </w:rPr>
              <w:t xml:space="preserve">The benchmarks and the standard of performance</w:t>
            </w:r>
          </w:p>
          <w:p>
            <w:pPr>
              <w:pStyle w:val="ListParagraph"/>
              <w:numPr>
                <w:ilvl w:val="0"/>
                <w:numId w:val="2"/>
              </w:numPr>
              <w:spacing w:after="30" w:line="252"/>
            </w:pPr>
            <w:r>
              <w:rPr>
                <w:rFonts w:ascii="Aptos" w:cs="Aptos" w:eastAsia="Aptos" w:hAnsi="Aptos"/>
                <w:color w:val="1E2833"/>
                <w:sz w:val="20"/>
                <w:szCs w:val="20"/>
              </w:rPr>
              <w:t xml:space="preserve">The number of times a skill must be shown</w:t>
            </w:r>
          </w:p>
          <w:p>
            <w:pPr>
              <w:pStyle w:val="ListParagraph"/>
              <w:numPr>
                <w:ilvl w:val="0"/>
                <w:numId w:val="2"/>
              </w:numPr>
              <w:spacing w:after="30" w:line="252"/>
            </w:pPr>
            <w:r>
              <w:rPr>
                <w:rFonts w:ascii="Aptos" w:cs="Aptos" w:eastAsia="Aptos" w:hAnsi="Aptos"/>
                <w:color w:val="1E2833"/>
                <w:sz w:val="20"/>
                <w:szCs w:val="20"/>
              </w:rPr>
              <w:t xml:space="preserve">Who makes the judgement</w:t>
            </w:r>
          </w:p>
        </w:tc>
      </w:tr>
    </w:tbl>
    <w:p>
      <w:pPr>
        <w:pStyle w:val="ListParagraph"/>
        <w:numPr>
          <w:ilvl w:val="0"/>
          <w:numId w:val="2"/>
        </w:numPr>
        <w:spacing w:after="60" w:line="264"/>
      </w:pPr>
      <w:r>
        <w:rPr>
          <w:rFonts w:ascii="Aptos" w:cs="Aptos" w:eastAsia="Aptos" w:hAnsi="Aptos"/>
          <w:color w:val="1E2833"/>
          <w:sz w:val="20"/>
          <w:szCs w:val="20"/>
        </w:rPr>
        <w:t xml:space="preserve">Customisation for language and literacy is a matter of fairness for every candidate who needs it (Standard 1.4). A reasonable adjustment is for a candidate with disability (Standard 2.4; Disability Standards for Education 2005). Both are recorded the same way.</w:t>
      </w:r>
    </w:p>
    <w:p>
      <w:pPr>
        <w:pStyle w:val="ListParagraph"/>
        <w:numPr>
          <w:ilvl w:val="0"/>
          <w:numId w:val="2"/>
        </w:numPr>
        <w:spacing w:after="60" w:line="264"/>
      </w:pPr>
      <w:r>
        <w:rPr>
          <w:rFonts w:ascii="Aptos" w:cs="Aptos" w:eastAsia="Aptos" w:hAnsi="Aptos"/>
          <w:color w:val="1E2833"/>
          <w:sz w:val="20"/>
          <w:szCs w:val="20"/>
        </w:rPr>
        <w:t xml:space="preserve">Interpreters for assessment are certified and booked through People and Culture with at least 5 business days' notice. Family members, other learners and colleagues do not interpret in an assessment (SRA-RTO-006 section 7).</w:t>
      </w:r>
    </w:p>
    <w:p>
      <w:pPr>
        <w:pStyle w:val="ListParagraph"/>
        <w:numPr>
          <w:ilvl w:val="0"/>
          <w:numId w:val="2"/>
        </w:numPr>
        <w:spacing w:after="60" w:line="264"/>
      </w:pPr>
      <w:r>
        <w:rPr>
          <w:rFonts w:ascii="Aptos" w:cs="Aptos" w:eastAsia="Aptos" w:hAnsi="Aptos"/>
          <w:color w:val="1E2833"/>
          <w:sz w:val="20"/>
          <w:szCs w:val="20"/>
        </w:rPr>
        <w:t xml:space="preserve">If an adjustment a candidate asks for is not possible, the assessor and Leanne Okafor explain why in writing and offer an alternative (Standard 2.4).</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Evidence</w:t>
      </w:r>
    </w:p>
    <w:p>
      <w:pPr>
        <w:spacing w:before="0" w:after="120" w:line="276"/>
      </w:pPr>
      <w:r>
        <w:rPr>
          <w:rFonts w:ascii="Aptos" w:cs="Aptos" w:eastAsia="Aptos" w:hAnsi="Aptos"/>
          <w:color w:val="1E2833"/>
          <w:sz w:val="20"/>
          <w:szCs w:val="20"/>
        </w:rPr>
        <w:t xml:space="preserve">Evidence must meet the rules of evidence (valid, sufficient, authentic, current) and be gathered in line with the principles of assessment (fair, flexible, valid, reliable) (Standard 1.4). Workplace observations may be filmed with the candidate's written consent and the supervisor's agreement. A supervisor report is supporting evidence: it never replaces the assessor's observation of an observed task. The assessor may ask neutral follow-up questions and rephrase a question, but must not lead or give the answer.</w:t>
      </w:r>
    </w:p>
    <w:p>
      <w:pPr>
        <w:pStyle w:val="ListParagraph"/>
        <w:numPr>
          <w:ilvl w:val="0"/>
          <w:numId w:val="2"/>
        </w:numPr>
        <w:spacing w:after="60" w:line="264"/>
      </w:pPr>
      <w:r>
        <w:rPr>
          <w:rFonts w:ascii="Aptos" w:cs="Aptos" w:eastAsia="Aptos" w:hAnsi="Aptos"/>
          <w:color w:val="1E2833"/>
          <w:sz w:val="20"/>
          <w:szCs w:val="20"/>
        </w:rPr>
        <w:t xml:space="preserve">Filming uses the Academy tablet only. Other workers are kept out of shot where possible and are told before filming starts.</w:t>
      </w:r>
    </w:p>
    <w:p>
      <w:pPr>
        <w:pStyle w:val="ListParagraph"/>
        <w:numPr>
          <w:ilvl w:val="0"/>
          <w:numId w:val="2"/>
        </w:numPr>
        <w:spacing w:after="60" w:line="264"/>
      </w:pPr>
      <w:r>
        <w:rPr>
          <w:rFonts w:ascii="Aptos" w:cs="Aptos" w:eastAsia="Aptos" w:hAnsi="Aptos"/>
          <w:color w:val="1E2833"/>
          <w:sz w:val="20"/>
          <w:szCs w:val="20"/>
        </w:rPr>
        <w:t xml:space="preserve">If a supervisor report conflicts with what the assessor saw or with other records (for example rosters), the assessor sets the report aside, checks with its author in a factual way and seeks moderation before finalising (section 9).</w:t>
      </w:r>
    </w:p>
    <w:p>
      <w:pPr>
        <w:pStyle w:val="ListParagraph"/>
        <w:numPr>
          <w:ilvl w:val="0"/>
          <w:numId w:val="2"/>
        </w:numPr>
        <w:spacing w:after="60" w:line="264"/>
      </w:pPr>
      <w:r>
        <w:rPr>
          <w:rFonts w:ascii="Aptos" w:cs="Aptos" w:eastAsia="Aptos" w:hAnsi="Aptos"/>
          <w:color w:val="1E2833"/>
          <w:sz w:val="20"/>
          <w:szCs w:val="20"/>
        </w:rPr>
        <w:t xml:space="preserve">Third party evidence is verified with its author before it is relied on, by a call or a meeting recorded on the assessment record.</w:t>
      </w:r>
    </w:p>
    <w:p>
      <w:pPr>
        <w:pStyle w:val="ListParagraph"/>
        <w:numPr>
          <w:ilvl w:val="0"/>
          <w:numId w:val="2"/>
        </w:numPr>
        <w:spacing w:after="60" w:line="264"/>
      </w:pPr>
      <w:r>
        <w:rPr>
          <w:rFonts w:ascii="Aptos" w:cs="Aptos" w:eastAsia="Aptos" w:hAnsi="Aptos"/>
          <w:color w:val="1E2833"/>
          <w:sz w:val="20"/>
          <w:szCs w:val="20"/>
        </w:rPr>
        <w:t xml:space="preserve">Authenticity is confirmed by the candidate's declaration on the assessment record and, for work samples, by the supervisor.</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Making and recording judgements</w:t>
      </w:r>
    </w:p>
    <w:p>
      <w:pPr>
        <w:spacing w:before="0" w:after="120" w:line="276"/>
      </w:pPr>
      <w:r>
        <w:rPr>
          <w:rFonts w:ascii="Aptos" w:cs="Aptos" w:eastAsia="Aptos" w:hAnsi="Aptos"/>
          <w:color w:val="1E2833"/>
          <w:sz w:val="20"/>
          <w:szCs w:val="20"/>
        </w:rPr>
        <w:t xml:space="preserve">Mark every instrument Satisfactory or Not Yet Satisfactory with reasons. Make the unit judgement (Competent or Not Yet Competent) only when every required instrument is Satisfactory, on the Competency Judgement Record, stating the evidence relied on, how the rules of evidence were met and any customisation or adjustment.</w:t>
      </w:r>
    </w:p>
    <w:p>
      <w:pPr>
        <w:pStyle w:val="ListParagraph"/>
        <w:numPr>
          <w:ilvl w:val="0"/>
          <w:numId w:val="2"/>
        </w:numPr>
        <w:spacing w:after="60" w:line="264"/>
      </w:pPr>
      <w:r>
        <w:rPr>
          <w:rFonts w:ascii="Aptos" w:cs="Aptos" w:eastAsia="Aptos" w:hAnsi="Aptos"/>
          <w:color w:val="1E2833"/>
          <w:sz w:val="20"/>
          <w:szCs w:val="20"/>
        </w:rPr>
        <w:t xml:space="preserve">The judgement is made only after all the evidence the tool requires has been received and reviewed. A Competency Judgement Record is never signed with evidence listed as "to follow".</w:t>
      </w:r>
    </w:p>
    <w:p>
      <w:pPr>
        <w:pStyle w:val="ListParagraph"/>
        <w:numPr>
          <w:ilvl w:val="0"/>
          <w:numId w:val="2"/>
        </w:numPr>
        <w:spacing w:after="60" w:line="264"/>
      </w:pPr>
      <w:r>
        <w:rPr>
          <w:rFonts w:ascii="Aptos" w:cs="Aptos" w:eastAsia="Aptos" w:hAnsi="Aptos"/>
          <w:color w:val="1E2833"/>
          <w:sz w:val="20"/>
          <w:szCs w:val="20"/>
        </w:rPr>
        <w:t xml:space="preserve">Every section of the Competency Judgement Record is completed, including the rules of evidence section and, where it applies, the moderation outcome.</w:t>
      </w:r>
    </w:p>
    <w:p>
      <w:pPr>
        <w:pStyle w:val="ListParagraph"/>
        <w:numPr>
          <w:ilvl w:val="0"/>
          <w:numId w:val="2"/>
        </w:numPr>
        <w:spacing w:after="60" w:line="264"/>
      </w:pPr>
      <w:r>
        <w:rPr>
          <w:rFonts w:ascii="Aptos" w:cs="Aptos" w:eastAsia="Aptos" w:hAnsi="Aptos"/>
          <w:color w:val="1E2833"/>
          <w:sz w:val="20"/>
          <w:szCs w:val="20"/>
        </w:rPr>
        <w:t xml:space="preserve">The assessor (or, for evidence collected under direction, the directing assessor) signs and dates the record. Records are completed in ink or in the SMS; corrections are struck through, initialled and dated.</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Moderation</w:t>
      </w:r>
    </w:p>
    <w:p>
      <w:pPr>
        <w:spacing w:before="0" w:after="120" w:line="276"/>
      </w:pPr>
      <w:r>
        <w:rPr>
          <w:rFonts w:ascii="Aptos" w:cs="Aptos" w:eastAsia="Aptos" w:hAnsi="Aptos"/>
          <w:color w:val="1E2833"/>
          <w:sz w:val="20"/>
          <w:szCs w:val="20"/>
        </w:rPr>
        <w:t xml:space="preserve">Before finalising (a) any RPL judgement or (b) any judgement in which evidence from a third party is set aside, the assessor asks the Lead Trainer and Assessor (Craig Moretti) or another credentialed assessor to moderate, and records the outcome on the Competency Judgement Record.</w:t>
      </w:r>
    </w:p>
    <w:p>
      <w:pPr>
        <w:pStyle w:val="ListParagraph"/>
        <w:numPr>
          <w:ilvl w:val="0"/>
          <w:numId w:val="2"/>
        </w:numPr>
        <w:spacing w:after="60" w:line="264"/>
      </w:pPr>
      <w:r>
        <w:rPr>
          <w:rFonts w:ascii="Aptos" w:cs="Aptos" w:eastAsia="Aptos" w:hAnsi="Aptos"/>
          <w:color w:val="1E2833"/>
          <w:sz w:val="20"/>
          <w:szCs w:val="20"/>
        </w:rPr>
        <w:t xml:space="preserve">The assessor sends the moderator a short summary: the evidence for each requirement, anything set aside and why, the proposed judgement and reasons, and the questions for the moderator.</w:t>
      </w:r>
    </w:p>
    <w:p>
      <w:pPr>
        <w:pStyle w:val="ListParagraph"/>
        <w:numPr>
          <w:ilvl w:val="0"/>
          <w:numId w:val="2"/>
        </w:numPr>
        <w:spacing w:after="60" w:line="264"/>
      </w:pPr>
      <w:r>
        <w:rPr>
          <w:rFonts w:ascii="Aptos" w:cs="Aptos" w:eastAsia="Aptos" w:hAnsi="Aptos"/>
          <w:color w:val="1E2833"/>
          <w:sz w:val="20"/>
          <w:szCs w:val="20"/>
        </w:rPr>
        <w:t xml:space="preserve">The moderator reviews the evidence, not just the summary, and records agreement or the further evidence needed. The moderator is never the assessor who made the proposed judgement.</w:t>
      </w:r>
    </w:p>
    <w:p>
      <w:pPr>
        <w:pStyle w:val="ListParagraph"/>
        <w:numPr>
          <w:ilvl w:val="0"/>
          <w:numId w:val="2"/>
        </w:numPr>
        <w:spacing w:after="60" w:line="264"/>
      </w:pPr>
      <w:r>
        <w:rPr>
          <w:rFonts w:ascii="Aptos" w:cs="Aptos" w:eastAsia="Aptos" w:hAnsi="Aptos"/>
          <w:color w:val="1E2833"/>
          <w:sz w:val="20"/>
          <w:szCs w:val="20"/>
        </w:rPr>
        <w:t xml:space="preserve">The Lead Trainer or the Quality and Compliance Coordinator may also require moderation of other judgements, for example for a new assessor or after a validation recommendation.</w:t>
      </w:r>
    </w:p>
    <w:p>
      <w:pPr>
        <w:pStyle w:val="ListParagraph"/>
        <w:numPr>
          <w:ilvl w:val="0"/>
          <w:numId w:val="2"/>
        </w:numPr>
        <w:spacing w:after="60" w:line="264"/>
      </w:pPr>
      <w:r>
        <w:rPr>
          <w:rFonts w:ascii="Aptos" w:cs="Aptos" w:eastAsia="Aptos" w:hAnsi="Aptos"/>
          <w:color w:val="1E2833"/>
          <w:sz w:val="20"/>
          <w:szCs w:val="20"/>
        </w:rPr>
        <w:t xml:space="preserve">Moderation happens before results are sent to Student Services, so the timeframes in sections 10 and 11 allow for it.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10. Feedback and resubmission</w:t>
      </w:r>
    </w:p>
    <w:p>
      <w:pPr>
        <w:spacing w:before="0" w:after="120" w:line="276"/>
      </w:pPr>
      <w:r>
        <w:rPr>
          <w:rFonts w:ascii="Aptos" w:cs="Aptos" w:eastAsia="Aptos" w:hAnsi="Aptos"/>
          <w:color w:val="1E2833"/>
          <w:sz w:val="20"/>
          <w:szCs w:val="20"/>
        </w:rPr>
        <w:t xml:space="preserve">Give the candidate feedback on each instrument and the outcome within 5 business days of the last assessment event. A candidate who is Not Yet Satisfactory or Not Yet Competent gets specific feedback, support and up to two further attempts, arranged with them. Document the follow-up plan.</w:t>
      </w:r>
    </w:p>
    <w:p>
      <w:pPr>
        <w:pStyle w:val="ListParagraph"/>
        <w:numPr>
          <w:ilvl w:val="0"/>
          <w:numId w:val="2"/>
        </w:numPr>
        <w:spacing w:after="60" w:line="264"/>
      </w:pPr>
      <w:r>
        <w:rPr>
          <w:rFonts w:ascii="Aptos" w:cs="Aptos" w:eastAsia="Aptos" w:hAnsi="Aptos"/>
          <w:color w:val="1E2833"/>
          <w:sz w:val="20"/>
          <w:szCs w:val="20"/>
        </w:rPr>
        <w:t xml:space="preserve">Feedback is specific: what the candidate did well, what was not yet shown, and what to do next. "Good job" on its own is not feedback.</w:t>
      </w:r>
    </w:p>
    <w:p>
      <w:pPr>
        <w:pStyle w:val="ListParagraph"/>
        <w:numPr>
          <w:ilvl w:val="0"/>
          <w:numId w:val="2"/>
        </w:numPr>
        <w:spacing w:after="60" w:line="264"/>
      </w:pPr>
      <w:r>
        <w:rPr>
          <w:rFonts w:ascii="Aptos" w:cs="Aptos" w:eastAsia="Aptos" w:hAnsi="Aptos"/>
          <w:color w:val="1E2833"/>
          <w:sz w:val="20"/>
          <w:szCs w:val="20"/>
        </w:rPr>
        <w:t xml:space="preserve">Tell the candidate the outcome as soon as it is decided, in person and with an interpreter where needed, then give the written feedback within the timeframe.</w:t>
      </w:r>
    </w:p>
    <w:p>
      <w:pPr>
        <w:pStyle w:val="ListParagraph"/>
        <w:numPr>
          <w:ilvl w:val="0"/>
          <w:numId w:val="2"/>
        </w:numPr>
        <w:spacing w:after="60" w:line="264"/>
      </w:pPr>
      <w:r>
        <w:rPr>
          <w:rFonts w:ascii="Aptos" w:cs="Aptos" w:eastAsia="Aptos" w:hAnsi="Aptos"/>
          <w:color w:val="1E2833"/>
          <w:sz w:val="20"/>
          <w:szCs w:val="20"/>
        </w:rPr>
        <w:t xml:space="preserve">A further attempt usually covers only the gap items, with the same tool and the same benchmarks, after the agreed support or practice.</w:t>
      </w:r>
    </w:p>
    <w:p>
      <w:pPr>
        <w:pStyle w:val="ListParagraph"/>
        <w:numPr>
          <w:ilvl w:val="0"/>
          <w:numId w:val="2"/>
        </w:numPr>
        <w:spacing w:after="60" w:line="264"/>
      </w:pPr>
      <w:r>
        <w:rPr>
          <w:rFonts w:ascii="Aptos" w:cs="Aptos" w:eastAsia="Aptos" w:hAnsi="Aptos"/>
          <w:color w:val="1E2833"/>
          <w:sz w:val="20"/>
          <w:szCs w:val="20"/>
        </w:rPr>
        <w:t xml:space="preserve">If the candidate is still Not Yet Competent after two further attempts, the Lead Trainer meets the candidate and their supervisor to agree further training before any more assessment.</w:t>
      </w:r>
    </w:p>
    <w:p>
      <w:pPr>
        <w:pStyle w:val="ListParagraph"/>
        <w:numPr>
          <w:ilvl w:val="0"/>
          <w:numId w:val="2"/>
        </w:numPr>
        <w:spacing w:after="60" w:line="264"/>
      </w:pPr>
      <w:r>
        <w:rPr>
          <w:rFonts w:ascii="Aptos" w:cs="Aptos" w:eastAsia="Aptos" w:hAnsi="Aptos"/>
          <w:color w:val="1E2833"/>
          <w:sz w:val="20"/>
          <w:szCs w:val="20"/>
        </w:rPr>
        <w:t xml:space="preserve">With every outcome, remind the candidate of their right to appeal (SRA-RTO-008): within 30 days, acknowledged within 2 business days and decided within 15 business days; an appealed assessment is re-assessed by a different assessor; final internal decision by Gemma Whitfield; independent review at no cost if the candidate asks.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11. Records and privacy</w:t>
      </w:r>
    </w:p>
    <w:p>
      <w:pPr>
        <w:spacing w:before="0" w:after="120" w:line="276"/>
      </w:pPr>
      <w:r>
        <w:rPr>
          <w:rFonts w:ascii="Aptos" w:cs="Aptos" w:eastAsia="Aptos" w:hAnsi="Aptos"/>
          <w:color w:val="1E2833"/>
          <w:sz w:val="20"/>
          <w:szCs w:val="20"/>
        </w:rPr>
        <w:t xml:space="preserve">Results and records go to Ivy Chua (Student Services) within 5 business days of the final assessment for entry in the SMS. Completed assessment evidence is kept for 2 years after the learner completes the qualification (Compliance Standards s10). Recordings and evidence are stored only in the candidate's SMS file, never on personal devices; delete camera copies the same day. Assessment information is shared only with people who need it (the candidate, the assessor, the Lead Trainer, Student Services and, for workplace arrangements only, the supervisor). Lila Petrov is the Privacy Officer.</w:t>
      </w:r>
    </w:p>
    <w:p>
      <w:pPr>
        <w:pStyle w:val="ListParagraph"/>
        <w:numPr>
          <w:ilvl w:val="0"/>
          <w:numId w:val="2"/>
        </w:numPr>
        <w:spacing w:after="60" w:line="264"/>
      </w:pPr>
      <w:r>
        <w:rPr>
          <w:rFonts w:ascii="Aptos" w:cs="Aptos" w:eastAsia="Aptos" w:hAnsi="Aptos"/>
          <w:color w:val="1E2833"/>
          <w:sz w:val="20"/>
          <w:szCs w:val="20"/>
        </w:rPr>
        <w:t xml:space="preserve">Results to Student Services within 5 business days is a key performance measure for every Trainer and Assessor (SRA-RTO-042).</w:t>
      </w:r>
    </w:p>
    <w:p>
      <w:pPr>
        <w:pStyle w:val="ListParagraph"/>
        <w:numPr>
          <w:ilvl w:val="0"/>
          <w:numId w:val="2"/>
        </w:numPr>
        <w:spacing w:after="60" w:line="264"/>
      </w:pPr>
      <w:r>
        <w:rPr>
          <w:rFonts w:ascii="Aptos" w:cs="Aptos" w:eastAsia="Aptos" w:hAnsi="Aptos"/>
          <w:color w:val="1E2833"/>
          <w:sz w:val="20"/>
          <w:szCs w:val="20"/>
        </w:rPr>
        <w:t xml:space="preserve">Student Services issues the testamur or Statement of Attainment within 30 calendar days of the final assessment (Compliance Standards s9). Certification records are kept for 30 years (Compliance Standards s10).</w:t>
      </w:r>
    </w:p>
    <w:p>
      <w:pPr>
        <w:pStyle w:val="ListParagraph"/>
        <w:numPr>
          <w:ilvl w:val="0"/>
          <w:numId w:val="2"/>
        </w:numPr>
        <w:spacing w:after="60" w:line="264"/>
      </w:pPr>
      <w:r>
        <w:rPr>
          <w:rFonts w:ascii="Aptos" w:cs="Aptos" w:eastAsia="Aptos" w:hAnsi="Aptos"/>
          <w:color w:val="1E2833"/>
          <w:sz w:val="20"/>
          <w:szCs w:val="20"/>
        </w:rPr>
        <w:t xml:space="preserve">Evidence is organised by candidate, unit and instrument so that it can be judged, validated and audited. Copies used for validation are de-identified (SRA-RTO-004 section 6).</w:t>
      </w:r>
    </w:p>
    <w:p>
      <w:pPr>
        <w:pStyle w:val="ListParagraph"/>
        <w:numPr>
          <w:ilvl w:val="0"/>
          <w:numId w:val="2"/>
        </w:numPr>
        <w:spacing w:after="60" w:line="264"/>
      </w:pPr>
      <w:r>
        <w:rPr>
          <w:rFonts w:ascii="Aptos" w:cs="Aptos" w:eastAsia="Aptos" w:hAnsi="Aptos"/>
          <w:color w:val="1E2833"/>
          <w:sz w:val="20"/>
          <w:szCs w:val="20"/>
        </w:rPr>
        <w:t xml:space="preserve">Personal information is handled under SRL-CR-018 Information Privacy and Confidentiality Policy and the Privacy Act 1988 (Compliance Standards s20). Records are kept under SRL-CR-019.</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12. Candidate feedback</w:t>
      </w:r>
    </w:p>
    <w:p>
      <w:pPr>
        <w:spacing w:before="0" w:after="120" w:line="276"/>
      </w:pPr>
      <w:r>
        <w:rPr>
          <w:rFonts w:ascii="Aptos" w:cs="Aptos" w:eastAsia="Aptos" w:hAnsi="Aptos"/>
          <w:color w:val="1E2833"/>
          <w:sz w:val="20"/>
          <w:szCs w:val="20"/>
        </w:rPr>
        <w:t xml:space="preserve">Every candidate is offered the Candidate Assessment Feedback Form (picture scale, oral or written, with an interpreter if needed) after each unit assessment. Assessors review their forms and their own practice each assessment round and record changes for the Quality Committee.</w:t>
      </w:r>
    </w:p>
    <w:p>
      <w:pPr>
        <w:pStyle w:val="ListParagraph"/>
        <w:numPr>
          <w:ilvl w:val="0"/>
          <w:numId w:val="2"/>
        </w:numPr>
        <w:spacing w:after="60" w:line="264"/>
      </w:pPr>
      <w:r>
        <w:rPr>
          <w:rFonts w:ascii="Aptos" w:cs="Aptos" w:eastAsia="Aptos" w:hAnsi="Aptos"/>
          <w:color w:val="1E2833"/>
          <w:sz w:val="20"/>
          <w:szCs w:val="20"/>
        </w:rPr>
        <w:t xml:space="preserve">Completed forms (SRA-RTO-030) go to Rohan Desai, who summarises them for the Quality Committee and the validation schedule.</w:t>
      </w:r>
    </w:p>
    <w:p>
      <w:pPr>
        <w:pStyle w:val="ListParagraph"/>
        <w:numPr>
          <w:ilvl w:val="0"/>
          <w:numId w:val="2"/>
        </w:numPr>
        <w:spacing w:after="60" w:line="264"/>
      </w:pPr>
      <w:r>
        <w:rPr>
          <w:rFonts w:ascii="Aptos" w:cs="Aptos" w:eastAsia="Aptos" w:hAnsi="Aptos"/>
          <w:color w:val="1E2833"/>
          <w:sz w:val="20"/>
          <w:szCs w:val="20"/>
        </w:rPr>
        <w:t xml:space="preserve">Tool matters raised by candidates go on the tool feedback log (section 4).</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13. Developing a new or changed assessment tool</w:t>
      </w:r>
    </w:p>
    <w:p>
      <w:pPr>
        <w:spacing w:before="0" w:after="120" w:line="276"/>
      </w:pPr>
      <w:r>
        <w:rPr>
          <w:rFonts w:ascii="Aptos" w:cs="Aptos" w:eastAsia="Aptos" w:hAnsi="Aptos"/>
          <w:color w:val="1E2833"/>
          <w:sz w:val="20"/>
          <w:szCs w:val="20"/>
        </w:rPr>
        <w:t xml:space="preserve">Every new Academy tool, and every change to an approved tool, follows these steps. The Lead Trainer and Assessor allocates the work; the Quality and Compliance Coordinator manages the pre-use review.</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952"/>
      </w:tblGrid>
      <w:tr>
        <w:trPr>
          <w:cantSplit/>
          <w:tblHeader/>
        </w:trPr>
        <w:tc>
          <w:tcPr>
            <w:tcW w:type="dxa" w:w="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Step</w:t>
            </w:r>
          </w:p>
        </w:tc>
        <w:tc>
          <w:tcPr>
            <w:tcW w:type="dxa" w:w="8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happens</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w:t>
            </w:r>
          </w:p>
        </w:tc>
        <w:tc>
          <w:tcPr>
            <w:tcW w:type="dxa" w:w="8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Lead Trainer and Assessor briefs the developer: unit, purpose, target group, context, due date for the pre-use review</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w:t>
            </w:r>
          </w:p>
        </w:tc>
        <w:tc>
          <w:tcPr>
            <w:tcW w:type="dxa" w:w="8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developer analyses the unit and its assessment requirements on training.gov.au, the TAS (SRA-RTO-011) and the target group, and checks available instruments (including copyright and licence terms)</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w:t>
            </w:r>
          </w:p>
        </w:tc>
        <w:tc>
          <w:tcPr>
            <w:tcW w:type="dxa" w:w="8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developer reviews their own subject matter expertise, industry relevance and currency for the unit. Gaps are raised with the Lead Trainer and Assessor and addressed under SRA-RTO-009 (floor shifts, supervised currency activities) and by involving subject matter experts named by the Lead Trainer</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w:t>
            </w:r>
          </w:p>
        </w:tc>
        <w:tc>
          <w:tcPr>
            <w:tcW w:type="dxa" w:w="8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Subject matter expert and industry input is requested in writing, and recorded in a development log kept with the tool (who, when, what advice, what changed)</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w:t>
            </w:r>
          </w:p>
        </w:tc>
        <w:tc>
          <w:tcPr>
            <w:tcW w:type="dxa" w:w="8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tool is drafted on SRA-RTO-025 with full mapping on SRA-RTO-026, version 0.1 DRAFT (SRL-CR-019 numbering)</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w:t>
            </w:r>
          </w:p>
        </w:tc>
        <w:tc>
          <w:tcPr>
            <w:tcW w:type="dxa" w:w="8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developer completes a systematic self-review on the SRA-RTO-028 pre-use review checklist</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w:t>
            </w:r>
          </w:p>
        </w:tc>
        <w:tc>
          <w:tcPr>
            <w:tcW w:type="dxa" w:w="8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tool is trialled with at least one colleague acting as a candidate, and marked independently by a second assessor. No learner personal information is used in a trial</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8</w:t>
            </w:r>
          </w:p>
        </w:tc>
        <w:tc>
          <w:tcPr>
            <w:tcW w:type="dxa" w:w="8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is recorded, the tool is amended, and every change is listed in the version history</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9</w:t>
            </w:r>
          </w:p>
        </w:tc>
        <w:tc>
          <w:tcPr>
            <w:tcW w:type="dxa" w:w="8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final draft, mapping, development log, trial record and self-review checklist go to the Quality and Compliance Coordinator at least 3 business days before the pre-use review</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8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pre-use review (Rohan Desai, with an industry expert) decides: approved, approved with changes, or not approved. Only an approved tool (version 1.0) may be used. It is published in the Academy tool library, earlier drafts are archived, and the tool is added to the validation schedule (SRA-RTO-031)</w:t>
            </w:r>
          </w:p>
        </w:tc>
      </w:tr>
    </w:tbl>
    <w:p>
      <w:pPr>
        <w:keepNext/>
        <w:spacing w:before="200" w:after="80"/>
      </w:pPr>
      <w:r>
        <w:rPr>
          <w:rFonts w:ascii="Aptos Display" w:cs="Aptos Display" w:eastAsia="Aptos Display" w:hAnsi="Aptos Display"/>
          <w:b/>
          <w:bCs/>
          <w:color w:val="4F7F80"/>
          <w:sz w:val="24"/>
          <w:szCs w:val="24"/>
        </w:rPr>
        <w:t xml:space="preserve">13.1 Rules that apply to every tool</w:t>
      </w:r>
    </w:p>
    <w:p>
      <w:pPr>
        <w:pStyle w:val="ListParagraph"/>
        <w:numPr>
          <w:ilvl w:val="0"/>
          <w:numId w:val="2"/>
        </w:numPr>
        <w:spacing w:after="60" w:line="264"/>
      </w:pPr>
      <w:r>
        <w:rPr>
          <w:rFonts w:ascii="Aptos" w:cs="Aptos" w:eastAsia="Aptos" w:hAnsi="Aptos"/>
          <w:color w:val="1E2833"/>
          <w:sz w:val="20"/>
          <w:szCs w:val="20"/>
        </w:rPr>
        <w:t xml:space="preserve">Industry experts advise; the Academy decides. No unit requirement is removed because an expert thinks it is unnecessary.</w:t>
      </w:r>
    </w:p>
    <w:p>
      <w:pPr>
        <w:pStyle w:val="ListParagraph"/>
        <w:numPr>
          <w:ilvl w:val="0"/>
          <w:numId w:val="2"/>
        </w:numPr>
        <w:spacing w:after="60" w:line="264"/>
      </w:pPr>
      <w:r>
        <w:rPr>
          <w:rFonts w:ascii="Aptos" w:cs="Aptos" w:eastAsia="Aptos" w:hAnsi="Aptos"/>
          <w:color w:val="1E2833"/>
          <w:sz w:val="20"/>
          <w:szCs w:val="20"/>
        </w:rPr>
        <w:t xml:space="preserve">Bought or borrowed material is used only within its licence. Material that cites superseded standards, legislation or SteelRiver procedures, old location numbers, or real customer or personal details is not used until corrected.</w:t>
      </w:r>
    </w:p>
    <w:p>
      <w:pPr>
        <w:pStyle w:val="ListParagraph"/>
        <w:numPr>
          <w:ilvl w:val="0"/>
          <w:numId w:val="2"/>
        </w:numPr>
        <w:spacing w:after="60" w:line="264"/>
      </w:pPr>
      <w:r>
        <w:rPr>
          <w:rFonts w:ascii="Aptos" w:cs="Aptos" w:eastAsia="Aptos" w:hAnsi="Aptos"/>
          <w:color w:val="1E2833"/>
          <w:sz w:val="20"/>
          <w:szCs w:val="20"/>
        </w:rPr>
        <w:t xml:space="preserve">Every third party report prompt and instruction is checked against the mapping, so that no requirement depends on an item that cannot collect it.</w:t>
      </w:r>
    </w:p>
    <w:p>
      <w:pPr>
        <w:pStyle w:val="ListParagraph"/>
        <w:numPr>
          <w:ilvl w:val="0"/>
          <w:numId w:val="2"/>
        </w:numPr>
        <w:spacing w:after="60" w:line="264"/>
      </w:pPr>
      <w:r>
        <w:rPr>
          <w:rFonts w:ascii="Aptos" w:cs="Aptos" w:eastAsia="Aptos" w:hAnsi="Aptos"/>
          <w:color w:val="1E2833"/>
          <w:sz w:val="20"/>
          <w:szCs w:val="20"/>
        </w:rPr>
        <w:t xml:space="preserve">Drafts are named with their version and DRAFT (for example v0.2 DRAFT) until approved. The approved tool is version 1.0; later changes follow SRL-CR-019 numbering and go through steps 6 to 10 again.</w:t>
      </w:r>
    </w:p>
    <w:p>
      <w:pPr>
        <w:pStyle w:val="ListParagraph"/>
        <w:numPr>
          <w:ilvl w:val="0"/>
          <w:numId w:val="2"/>
        </w:numPr>
        <w:spacing w:after="60" w:line="264"/>
      </w:pPr>
      <w:r>
        <w:rPr>
          <w:rFonts w:ascii="Aptos" w:cs="Aptos" w:eastAsia="Aptos" w:hAnsi="Aptos"/>
          <w:color w:val="1E2833"/>
          <w:sz w:val="20"/>
          <w:szCs w:val="20"/>
        </w:rPr>
        <w:t xml:space="preserve">Tools for the same unit cover the same requirements whatever the pathway (training or RPL).</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14. Validation and continuous improvement</w:t>
      </w:r>
    </w:p>
    <w:p>
      <w:pPr>
        <w:pStyle w:val="ListParagraph"/>
        <w:numPr>
          <w:ilvl w:val="0"/>
          <w:numId w:val="2"/>
        </w:numPr>
        <w:spacing w:after="60" w:line="264"/>
      </w:pPr>
      <w:r>
        <w:rPr>
          <w:rFonts w:ascii="Aptos" w:cs="Aptos" w:eastAsia="Aptos" w:hAnsi="Aptos"/>
          <w:color w:val="1E2833"/>
          <w:sz w:val="20"/>
          <w:szCs w:val="20"/>
        </w:rPr>
        <w:t xml:space="preserve">The Academy validates its assessment system under SRA-RTO-004 Validation Policy and Procedure, on the risk-based schedule in SRA-RTO-031. Every TLI30325 unit is validated at least once in five years, and sooner after a risk, a training product change or feedback (Standard 1.5).</w:t>
      </w:r>
    </w:p>
    <w:p>
      <w:pPr>
        <w:pStyle w:val="ListParagraph"/>
        <w:numPr>
          <w:ilvl w:val="0"/>
          <w:numId w:val="2"/>
        </w:numPr>
        <w:spacing w:after="60" w:line="264"/>
      </w:pPr>
      <w:r>
        <w:rPr>
          <w:rFonts w:ascii="Aptos" w:cs="Aptos" w:eastAsia="Aptos" w:hAnsi="Aptos"/>
          <w:color w:val="1E2833"/>
          <w:sz w:val="20"/>
          <w:szCs w:val="20"/>
        </w:rPr>
        <w:t xml:space="preserve">Pre-use review checks tools before first use; post-use validation samples completed judgements and evidence. Assessors cooperate with validation and supply de-identified copies when asked.</w:t>
      </w:r>
    </w:p>
    <w:p>
      <w:pPr>
        <w:pStyle w:val="ListParagraph"/>
        <w:numPr>
          <w:ilvl w:val="0"/>
          <w:numId w:val="2"/>
        </w:numPr>
        <w:spacing w:after="60" w:line="264"/>
      </w:pPr>
      <w:r>
        <w:rPr>
          <w:rFonts w:ascii="Aptos" w:cs="Aptos" w:eastAsia="Aptos" w:hAnsi="Aptos"/>
          <w:color w:val="1E2833"/>
          <w:sz w:val="20"/>
          <w:szCs w:val="20"/>
        </w:rPr>
        <w:t xml:space="preserve">Where post-use validation finds a judgement is not supported, the assessor and the Academy Manager are told within 2 business days and the Academy decides what further assessment is needed (SRA-RTO-004 section 8).</w:t>
      </w:r>
    </w:p>
    <w:p>
      <w:pPr>
        <w:pStyle w:val="ListParagraph"/>
        <w:numPr>
          <w:ilvl w:val="0"/>
          <w:numId w:val="2"/>
        </w:numPr>
        <w:spacing w:after="60" w:line="264"/>
      </w:pPr>
      <w:r>
        <w:rPr>
          <w:rFonts w:ascii="Aptos" w:cs="Aptos" w:eastAsia="Aptos" w:hAnsi="Aptos"/>
          <w:color w:val="1E2833"/>
          <w:sz w:val="20"/>
          <w:szCs w:val="20"/>
        </w:rPr>
        <w:t xml:space="preserve">Validation recommendations, moderation findings, the tool feedback log, candidate feedback (SRA-RTO-030), complaints and appeals are reported to the Quality Committee and recorded on the continuous improvement register (SRA-RTO-002). Actions change the tool, the practice or this policy.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15. Roles and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 under this policy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Academy Manager (Gemma Whitfield)</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Approves this policy. Makes the final internal decision on appeals. Decides on certificates where a judgement is found unsupported.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Quality and Compliance Coordinator (Rohan Desai)</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policy. Manages the pre-use review and signs it. Keeps the tool feedback log, the tool library and the validation schedule. Leads validation.</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Lead Trainer and Assessor (Craig Moretti)</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Briefs tool developers. Moderates judgements (section 9). Gives direction to people under Credential Policy 1C or 1D and makes and signs the judgements on evidence they collect.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Assessors</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Assess only within section 3. Follow sections 4 to 12. Report tool problems; never change a tool.</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People under direction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Conduct assessment and collect evidence as directed. Hand all evidence to the directing assessor. Never make, write or imply a judgement.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LLN lead (Leanne Okafor)</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Agrees customisation and reasonable adjustments with candidates and assessors. Keeps LLN support plans (SRA-RTO-006).</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Student Services and Records Officer (Ivy Chua)</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Enters results in the SMS, checks records are complete, issues certificates within 30 calendar days, keeps records.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Workplace supervisors and leads</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Release candidates for assessment. Complete supervisor reports honestly from their own observation, using SRA-RTO-029. Do not make judgements.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Take part in the briefing, tell the assessor about support needs, give honest and authentic evidence, and give feedback on SRA-RTO-030.</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16. Related documents</w:t>
      </w:r>
    </w:p>
    <w:p>
      <w:pPr>
        <w:pStyle w:val="ListParagraph"/>
        <w:numPr>
          <w:ilvl w:val="0"/>
          <w:numId w:val="2"/>
        </w:numPr>
        <w:spacing w:after="60" w:line="264"/>
      </w:pPr>
      <w:r>
        <w:rPr>
          <w:rFonts w:ascii="Aptos" w:cs="Aptos" w:eastAsia="Aptos" w:hAnsi="Aptos"/>
          <w:color w:val="1E2833"/>
          <w:sz w:val="20"/>
          <w:szCs w:val="20"/>
        </w:rPr>
        <w:t xml:space="preserve">SRA-RTO-002 Governance, Compliance and Continuous Improvement Policy</w:t>
      </w:r>
    </w:p>
    <w:p>
      <w:pPr>
        <w:pStyle w:val="ListParagraph"/>
        <w:numPr>
          <w:ilvl w:val="0"/>
          <w:numId w:val="2"/>
        </w:numPr>
        <w:spacing w:after="60" w:line="264"/>
      </w:pPr>
      <w:r>
        <w:rPr>
          <w:rFonts w:ascii="Aptos" w:cs="Aptos" w:eastAsia="Aptos" w:hAnsi="Aptos"/>
          <w:color w:val="1E2833"/>
          <w:sz w:val="20"/>
          <w:szCs w:val="20"/>
        </w:rPr>
        <w:t xml:space="preserve">SRA-RTO-004 Validation Policy and Procedure</w:t>
      </w:r>
    </w:p>
    <w:p>
      <w:pPr>
        <w:pStyle w:val="ListParagraph"/>
        <w:numPr>
          <w:ilvl w:val="0"/>
          <w:numId w:val="2"/>
        </w:numPr>
        <w:spacing w:after="60" w:line="264"/>
      </w:pPr>
      <w:r>
        <w:rPr>
          <w:rFonts w:ascii="Aptos" w:cs="Aptos" w:eastAsia="Aptos" w:hAnsi="Aptos"/>
          <w:color w:val="1E2833"/>
          <w:sz w:val="20"/>
          <w:szCs w:val="20"/>
        </w:rPr>
        <w:t xml:space="preserve">SRA-RTO-005 Recognition of Prior Learning and Credit Transfer Policy and Procedure</w:t>
      </w:r>
    </w:p>
    <w:p>
      <w:pPr>
        <w:pStyle w:val="ListParagraph"/>
        <w:numPr>
          <w:ilvl w:val="0"/>
          <w:numId w:val="2"/>
        </w:numPr>
        <w:spacing w:after="60" w:line="264"/>
      </w:pPr>
      <w:r>
        <w:rPr>
          <w:rFonts w:ascii="Aptos" w:cs="Aptos" w:eastAsia="Aptos" w:hAnsi="Aptos"/>
          <w:color w:val="1E2833"/>
          <w:sz w:val="20"/>
          <w:szCs w:val="20"/>
        </w:rPr>
        <w:t xml:space="preserve">SRA-RTO-006 Language, Literacy, Numeracy and Learner Support Policy</w:t>
      </w:r>
    </w:p>
    <w:p>
      <w:pPr>
        <w:pStyle w:val="ListParagraph"/>
        <w:numPr>
          <w:ilvl w:val="0"/>
          <w:numId w:val="2"/>
        </w:numPr>
        <w:spacing w:after="60" w:line="264"/>
      </w:pPr>
      <w:r>
        <w:rPr>
          <w:rFonts w:ascii="Aptos" w:cs="Aptos" w:eastAsia="Aptos" w:hAnsi="Aptos"/>
          <w:color w:val="1E2833"/>
          <w:sz w:val="20"/>
          <w:szCs w:val="20"/>
        </w:rPr>
        <w:t xml:space="preserve">SRA-RTO-008 Complaints and Appeals Policy and Procedure</w:t>
      </w:r>
    </w:p>
    <w:p>
      <w:pPr>
        <w:pStyle w:val="ListParagraph"/>
        <w:numPr>
          <w:ilvl w:val="0"/>
          <w:numId w:val="2"/>
        </w:numPr>
        <w:spacing w:after="60" w:line="264"/>
      </w:pPr>
      <w:r>
        <w:rPr>
          <w:rFonts w:ascii="Aptos" w:cs="Aptos" w:eastAsia="Aptos" w:hAnsi="Aptos"/>
          <w:color w:val="1E2833"/>
          <w:sz w:val="20"/>
          <w:szCs w:val="20"/>
        </w:rPr>
        <w:t xml:space="preserve">SRA-RTO-009 Trainer and Assessor Credentials, Currency and Professional Development Policy</w:t>
      </w:r>
    </w:p>
    <w:p>
      <w:pPr>
        <w:pStyle w:val="ListParagraph"/>
        <w:numPr>
          <w:ilvl w:val="0"/>
          <w:numId w:val="2"/>
        </w:numPr>
        <w:spacing w:after="60" w:line="264"/>
      </w:pPr>
      <w:r>
        <w:rPr>
          <w:rFonts w:ascii="Aptos" w:cs="Aptos" w:eastAsia="Aptos" w:hAnsi="Aptos"/>
          <w:color w:val="1E2833"/>
          <w:sz w:val="20"/>
          <w:szCs w:val="20"/>
        </w:rPr>
        <w:t xml:space="preserve">SRA-RTO-011 Training and Assessment Strategy: TLI30325 Certificate III in Supply Chain Operations (Warehousing Operations)</w:t>
      </w:r>
    </w:p>
    <w:p>
      <w:pPr>
        <w:pStyle w:val="ListParagraph"/>
        <w:numPr>
          <w:ilvl w:val="0"/>
          <w:numId w:val="2"/>
        </w:numPr>
        <w:spacing w:after="60" w:line="264"/>
      </w:pPr>
      <w:r>
        <w:rPr>
          <w:rFonts w:ascii="Aptos" w:cs="Aptos" w:eastAsia="Aptos" w:hAnsi="Aptos"/>
          <w:color w:val="1E2833"/>
          <w:sz w:val="20"/>
          <w:szCs w:val="20"/>
        </w:rPr>
        <w:t xml:space="preserve">SRA-RTO-025 Assessment Tool Template; SRA-RTO-026 Assessment Mapping Template; SRA-RTO-028 Validation Templates</w:t>
      </w:r>
    </w:p>
    <w:p>
      <w:pPr>
        <w:pStyle w:val="ListParagraph"/>
        <w:numPr>
          <w:ilvl w:val="0"/>
          <w:numId w:val="2"/>
        </w:numPr>
        <w:spacing w:after="60" w:line="264"/>
      </w:pPr>
      <w:r>
        <w:rPr>
          <w:rFonts w:ascii="Aptos" w:cs="Aptos" w:eastAsia="Aptos" w:hAnsi="Aptos"/>
          <w:color w:val="1E2833"/>
          <w:sz w:val="20"/>
          <w:szCs w:val="20"/>
        </w:rPr>
        <w:t xml:space="preserve">SRA-RTO-029 Workplace Supervisor Observation Record and Supervisor Guide; SRA-RTO-030 Candidate Assessment Feedback Form</w:t>
      </w:r>
    </w:p>
    <w:p>
      <w:pPr>
        <w:pStyle w:val="ListParagraph"/>
        <w:numPr>
          <w:ilvl w:val="0"/>
          <w:numId w:val="2"/>
        </w:numPr>
        <w:spacing w:after="60" w:line="264"/>
      </w:pPr>
      <w:r>
        <w:rPr>
          <w:rFonts w:ascii="Aptos" w:cs="Aptos" w:eastAsia="Aptos" w:hAnsi="Aptos"/>
          <w:color w:val="1E2833"/>
          <w:sz w:val="20"/>
          <w:szCs w:val="20"/>
        </w:rPr>
        <w:t xml:space="preserve">SRA-RTO-031 Validation Schedule 2026 to 2030; SRA-RTO-041 Trainer and Assessor Credentials Matrix; SRA-RTO-042 Position Description: Trainer and Assessor (TA-03)</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 SRL-CR-019 Document Control and Records Management Policy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17. Standards and legislation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4152"/>
      </w:tblGrid>
      <w:tr>
        <w:trPr>
          <w:cantSplit/>
          <w:tblHeader/>
        </w:trPr>
        <w:tc>
          <w:tcPr>
            <w:tcW w:type="dxa" w:w="5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4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this document meets it</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1.3: assessment tools are reviewed before use so assessment can be conducted in line with the principles and rules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4 and 13</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1.4: assessment is conducted in line with the principles of assessment and the rules of evidence</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2, 5 to 8</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1.5: validation of assessment practices and judgements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14 (with SRA-RTO-004)</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Standards 1.6 and 1.7: RPL and credit transfer</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1 and 9 (with SRA-RTO-005)</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2.4: reasonable adjustment for learners with disability</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6</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2.8: appeals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10 (with SRA-RTO-008)</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Standards 3.2(2)(b) and 3.3; Credential Policy 1A, 1C, 1D and 1E</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3</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Compliance Standards s9, s10 and s20: certification, records and privacy</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11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Vocational Education and Training Act 1996 (WA); Disability Standards for Education 2005; Privacy Act 1988</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6 and 11</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January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Reissued for the Registration Standards 2025 (TAC-registered RTOs from 1 January 2026) and TLI30325. Standards references updated; direction rules for Credential Policy 1C and 1D added (section 3); moderation triggers added (section 9); tool development procedure added as section 13.</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2024</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Resubmission limit set at two further attempts; tool feedback log introduced.</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2022</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on initial registration.</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SRA-RTO-003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SRA-RTO-003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SRA-RTO-003  ·  Assessment Policy and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SRA-RTO-003 Assessment Policy and Procedure</dc:title>
  <dc:creator>SteelRiver Logistics Pty Ltd trading as SteelRiver Academy</dc:creator>
  <cp:lastModifiedBy>Un-named</cp:lastModifiedBy>
  <cp:revision>1</cp:revision>
  <dcterms:created xsi:type="dcterms:W3CDTF">2026-11-01T14:49:45.619Z</dcterms:created>
  <dcterms:modified xsi:type="dcterms:W3CDTF">2026-11-01T14:49:45.620Z</dcterms:modified>
</cp:coreProperties>
</file>

<file path=docProps/custom.xml><?xml version="1.0" encoding="utf-8"?>
<Properties xmlns="http://schemas.openxmlformats.org/officeDocument/2006/custom-properties" xmlns:vt="http://schemas.openxmlformats.org/officeDocument/2006/docPropsVTypes"/>
</file>