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POLICY</w:t>
            </w:r>
          </w:p>
          <w:p>
            <w:pPr>
              <w:spacing w:after="0"/>
              <w:jc w:val="right"/>
            </w:pPr>
            <w:r>
              <w:rPr>
                <w:rFonts w:ascii="Aptos Display" w:cs="Aptos Display" w:eastAsia="Aptos Display" w:hAnsi="Aptos Display"/>
                <w:b/>
                <w:bCs/>
                <w:color w:val="0E4D4F"/>
                <w:sz w:val="36"/>
                <w:szCs w:val="36"/>
              </w:rPr>
              <w:t xml:space="preserve">SRA-RTO-005</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Recognition of Prior Learning and Credit Transfer Policy and Procedure</w:t>
      </w:r>
    </w:p>
    <w:p>
      <w:pPr>
        <w:spacing w:before="0" w:after="160" w:line="276"/>
      </w:pPr>
      <w:r>
        <w:rPr>
          <w:rFonts w:ascii="Aptos" w:cs="Aptos" w:eastAsia="Aptos" w:hAnsi="Aptos"/>
          <w:color w:val="4F7F80"/>
          <w:sz w:val="24"/>
          <w:szCs w:val="24"/>
        </w:rPr>
        <w:t xml:space="preserve">How SteelRiver Academy recognises skills and knowledge people already have, and units they have already completed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SRA-RTO-005</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Rohan Desai, Quality and Compliance Coordinator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Academy assessors, Student Services, learners and RPL candidates, and supervisors who give third party reports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scope</w:t>
      </w:r>
    </w:p>
    <w:p>
      <w:pPr>
        <w:spacing w:before="0" w:after="120" w:line="276"/>
      </w:pPr>
      <w:r>
        <w:rPr>
          <w:rFonts w:ascii="Aptos" w:cs="Aptos" w:eastAsia="Aptos" w:hAnsi="Aptos"/>
          <w:color w:val="1E2833"/>
          <w:sz w:val="20"/>
          <w:szCs w:val="20"/>
        </w:rPr>
        <w:t xml:space="preserve">Many SteelRiver workers already do the work described in TLI30325 units. SteelRiver Academy (the Academy) recognises what they can already do, so they do not repeat training they do not need. This policy and procedure sets out how the Academy offers and decides recognition of prior learning (RPL) and credit transfer, under Standards 1.6 and 1.7 of the Standards for RTOs 2025.</w:t>
      </w:r>
    </w:p>
    <w:p>
      <w:pPr>
        <w:spacing w:before="0" w:after="120" w:line="276"/>
      </w:pPr>
      <w:r>
        <w:rPr>
          <w:rFonts w:ascii="Aptos" w:cs="Aptos" w:eastAsia="Aptos" w:hAnsi="Aptos"/>
          <w:color w:val="1E2833"/>
          <w:sz w:val="20"/>
          <w:szCs w:val="20"/>
        </w:rPr>
        <w:t xml:space="preserve">It applies to every learner and applicant for TLI30325 or a single unit from it, every Academy assessor who conducts RPL, and Student Services. RPL is assessment, so it follows SRA-RTO-003 Assessment Policy and Procedure in full.</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Definitions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Recognition of prior learning (RPL)</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assessment of the skills and knowledge a person already has, however they were gained (work, life experience, non-accredited courses, overseas study), against the requirements of a unit. RPL is an assessment-only pathway.</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Credit transfer</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Recognition of a unit, or an equivalent unit, that the person has already achieved and that is shown on verified AQF certification documentation or an authenticated USI transcript. There is no assessment.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Equivalent unit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unit that training.gov.au shows as equivalent to the current unit (the outcomes are the same).</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AQF certification documentation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testamur, record of results or Statement of Attainment issued by an RTO for a nationally recognised training product.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USI transcript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record of nationally recognised training held against a person's Unique Student Identifier, shared with the Academy with the person's permission.</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Partial recognition</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RPL where the evidence shows competence in some of a unit or qualification but not all; the gaps are filled with targeted training and assessment.</w:t>
            </w:r>
          </w:p>
        </w:tc>
      </w:tr>
      <w:tr>
        <w:trPr>
          <w:cantSplit/>
        </w:trPr>
        <w:tc>
          <w:tcPr>
            <w:tcW w:type="dxa" w:w="3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RPL kit</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Academy's RPL assessment tool for a unit or cluster of units (for example SRA-RTO-024 RPL Kit: TLID0020 and TLIA0010), approved through the pre-use review.</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Policy</w:t>
      </w:r>
    </w:p>
    <w:p>
      <w:pPr>
        <w:pStyle w:val="ListParagraph"/>
        <w:numPr>
          <w:ilvl w:val="0"/>
          <w:numId w:val="2"/>
        </w:numPr>
        <w:spacing w:after="60" w:line="264"/>
      </w:pPr>
      <w:r>
        <w:rPr>
          <w:rFonts w:ascii="Aptos" w:cs="Aptos" w:eastAsia="Aptos" w:hAnsi="Aptos"/>
          <w:color w:val="1E2833"/>
          <w:sz w:val="20"/>
          <w:szCs w:val="20"/>
        </w:rPr>
        <w:t xml:space="preserve">RPL and credit transfer are offered to every learner at enrolment, and a learner may ask for RPL at any time during their program (SRA-RTO-007).</w:t>
      </w:r>
    </w:p>
    <w:p>
      <w:pPr>
        <w:pStyle w:val="ListParagraph"/>
        <w:numPr>
          <w:ilvl w:val="0"/>
          <w:numId w:val="2"/>
        </w:numPr>
        <w:spacing w:after="60" w:line="264"/>
      </w:pPr>
      <w:r>
        <w:rPr>
          <w:rFonts w:ascii="Aptos" w:cs="Aptos" w:eastAsia="Aptos" w:hAnsi="Aptos"/>
          <w:color w:val="1E2833"/>
          <w:sz w:val="20"/>
          <w:szCs w:val="20"/>
        </w:rPr>
        <w:t xml:space="preserve">RPL is decided through the Academy's assessment system, against the same unit requirements and the same rules of evidence as any other assessment (Standard 1.6). RPL is not a lighter option: the evidence must be valid, sufficient, authentic and current for every requirement of the unit.</w:t>
      </w:r>
    </w:p>
    <w:p>
      <w:pPr>
        <w:pStyle w:val="ListParagraph"/>
        <w:numPr>
          <w:ilvl w:val="0"/>
          <w:numId w:val="2"/>
        </w:numPr>
        <w:spacing w:after="60" w:line="264"/>
      </w:pPr>
      <w:r>
        <w:rPr>
          <w:rFonts w:ascii="Aptos" w:cs="Aptos" w:eastAsia="Aptos" w:hAnsi="Aptos"/>
          <w:color w:val="1E2833"/>
          <w:sz w:val="20"/>
          <w:szCs w:val="20"/>
        </w:rPr>
        <w:t xml:space="preserve">RPL judgements are made only by an Academy assessor who meets SRA-RTO-003 section 3, using an approved RPL kit, and are moderated before they are finalised (SRA-RTO-003 section 9).</w:t>
      </w:r>
    </w:p>
    <w:p>
      <w:pPr>
        <w:pStyle w:val="ListParagraph"/>
        <w:numPr>
          <w:ilvl w:val="0"/>
          <w:numId w:val="2"/>
        </w:numPr>
        <w:spacing w:after="60" w:line="264"/>
      </w:pPr>
      <w:r>
        <w:rPr>
          <w:rFonts w:ascii="Aptos" w:cs="Aptos" w:eastAsia="Aptos" w:hAnsi="Aptos"/>
          <w:color w:val="1E2833"/>
          <w:sz w:val="20"/>
          <w:szCs w:val="20"/>
        </w:rPr>
        <w:t xml:space="preserve">Credit transfer is granted for any unit, or equivalent unit, shown on verified AQF certification documentation or an authenticated USI transcript (Standard 1.7).</w:t>
      </w:r>
    </w:p>
    <w:p>
      <w:pPr>
        <w:pStyle w:val="ListParagraph"/>
        <w:numPr>
          <w:ilvl w:val="0"/>
          <w:numId w:val="2"/>
        </w:numPr>
        <w:spacing w:after="60" w:line="264"/>
      </w:pPr>
      <w:r>
        <w:rPr>
          <w:rFonts w:ascii="Aptos" w:cs="Aptos" w:eastAsia="Aptos" w:hAnsi="Aptos"/>
          <w:color w:val="1E2833"/>
          <w:sz w:val="20"/>
          <w:szCs w:val="20"/>
        </w:rPr>
        <w:t xml:space="preserve">There are no fees for RPL or credit transfer. SteelRiver pays all costs, and RPL activities happen in paid time.</w:t>
      </w:r>
    </w:p>
    <w:p>
      <w:pPr>
        <w:pStyle w:val="ListParagraph"/>
        <w:numPr>
          <w:ilvl w:val="0"/>
          <w:numId w:val="2"/>
        </w:numPr>
        <w:spacing w:after="60" w:line="264"/>
      </w:pPr>
      <w:r>
        <w:rPr>
          <w:rFonts w:ascii="Aptos" w:cs="Aptos" w:eastAsia="Aptos" w:hAnsi="Aptos"/>
          <w:color w:val="1E2833"/>
          <w:sz w:val="20"/>
          <w:szCs w:val="20"/>
        </w:rPr>
        <w:t xml:space="preserve">Candidates get the support they need to take part, including help with forms, oral options, an interpreter and a support person (section 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Is it RPL or credit transfer?</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4352"/>
      </w:tblGrid>
      <w:tr>
        <w:trPr>
          <w:cantSplit/>
          <w:tblHeader/>
        </w:trPr>
        <w:tc>
          <w:tcPr>
            <w:tcW w:type="dxa" w:w="5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person has</w:t>
            </w:r>
          </w:p>
        </w:tc>
        <w:tc>
          <w:tcPr>
            <w:tcW w:type="dxa" w:w="4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the Academy does</w:t>
            </w:r>
          </w:p>
        </w:tc>
      </w:tr>
      <w:tr>
        <w:trPr>
          <w:cantSplit/>
        </w:trPr>
        <w:tc>
          <w:tcPr>
            <w:tcW w:type="dxa" w:w="5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Statement of Attainment or record of results from an RTO for the same unit or an equivalent unit (for example TLID1001, which TLID0020 replaced and which is equivalent to it)</w:t>
            </w: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Credit transfer, after verifying the document with the issuing RTO or the USI transcript (section 6)</w:t>
            </w:r>
          </w:p>
        </w:tc>
      </w:tr>
      <w:tr>
        <w:trPr>
          <w:cantSplit/>
        </w:trPr>
        <w:tc>
          <w:tcPr>
            <w:tcW w:type="dxa" w:w="5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unit that the current unit replaced but which is not equivalent (for example TLIA3018 or TLIA3019, which TLIA0015 replaces but is not equivalent to)</w:t>
            </w:r>
          </w:p>
        </w:tc>
        <w:tc>
          <w:tcPr>
            <w:tcW w:type="dxa" w:w="4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credit transfer. The older unit may be evidence for RPL</w:t>
            </w:r>
          </w:p>
        </w:tc>
      </w:tr>
      <w:tr>
        <w:trPr>
          <w:cantSplit/>
        </w:trPr>
        <w:tc>
          <w:tcPr>
            <w:tcW w:type="dxa" w:w="5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superseded unit that training.gov.au shows as equivalent (for example TLIA3015, equivalent to TLIA0004)</w:t>
            </w: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Credit transfer for the current unit</w:t>
            </w:r>
          </w:p>
        </w:tc>
      </w:tr>
      <w:tr>
        <w:trPr>
          <w:cantSplit/>
        </w:trPr>
        <w:tc>
          <w:tcPr>
            <w:tcW w:type="dxa" w:w="5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certificate from a provider that is not an RTO, or for a course that is not nationally recognised (for example a one-day "safe lifting" workshop)</w:t>
            </w:r>
          </w:p>
        </w:tc>
        <w:tc>
          <w:tcPr>
            <w:tcW w:type="dxa" w:w="4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credit transfer. At most it is evidence for RPL, weighed like any other evidence</w:t>
            </w:r>
          </w:p>
        </w:tc>
      </w:tr>
      <w:tr>
        <w:trPr>
          <w:cantSplit/>
        </w:trPr>
        <w:tc>
          <w:tcPr>
            <w:tcW w:type="dxa" w:w="5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 overseas qualification or certificate</w:t>
            </w:r>
          </w:p>
        </w:tc>
        <w:tc>
          <w:tcPr>
            <w:tcW w:type="dxa" w:w="4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Not credit transfer. It may be evidence for RPL, translated through People and Culture first if it is in another language</w:t>
            </w:r>
          </w:p>
        </w:tc>
      </w:tr>
      <w:tr>
        <w:trPr>
          <w:cantSplit/>
        </w:trPr>
        <w:tc>
          <w:tcPr>
            <w:tcW w:type="dxa" w:w="5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experience, without a qualification</w:t>
            </w:r>
          </w:p>
        </w:tc>
        <w:tc>
          <w:tcPr>
            <w:tcW w:type="dxa" w:w="4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RPL</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The RPL procedure</w:t>
      </w:r>
    </w:p>
    <w:p>
      <w:pPr>
        <w:spacing w:before="0" w:after="120" w:line="276"/>
      </w:pPr>
      <w:r>
        <w:rPr>
          <w:rFonts w:ascii="Aptos" w:cs="Aptos" w:eastAsia="Aptos" w:hAnsi="Aptos"/>
          <w:color w:val="1E2833"/>
          <w:sz w:val="20"/>
          <w:szCs w:val="20"/>
        </w:rPr>
        <w:t xml:space="preserve">RPL at the Academy follows six stages and a decision. The RPL kit for the unit provides an instrument for each stage.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100"/>
        <w:gridCol w:w="3352"/>
      </w:tblGrid>
      <w:tr>
        <w:trPr>
          <w:cantSplit/>
          <w:tblHeader/>
        </w:trPr>
        <w:tc>
          <w:tcPr>
            <w:tcW w:type="dxa" w:w="2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Stage</w:t>
            </w:r>
          </w:p>
        </w:tc>
        <w:tc>
          <w:tcPr>
            <w:tcW w:type="dxa" w:w="4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c>
          <w:tcPr>
            <w:tcW w:type="dxa" w:w="3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Assessor's focus</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Information and initial discussion</w:t>
            </w: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RPL is explained face to face; the candidate receives the candidate guide; support (LLN, interpreter, a support person) is offered</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Explain what counts as evidence, currency and the steps; check the candidate's literacy and support needs; ask what evidence they plan to bring</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 Self-assessment</w:t>
            </w:r>
          </w:p>
        </w:tc>
        <w:tc>
          <w:tcPr>
            <w:tcW w:type="dxa" w:w="4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candidate rates themselves against the unit, with the assessor if they prefer; it guides the evidence, it is not evidence of competency on its own</w:t>
            </w:r>
          </w:p>
        </w:tc>
        <w:tc>
          <w:tcPr>
            <w:tcW w:type="dxa" w:w="3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Diagnostic: shows where to focus and whether RPL is the right pathway</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 Evidence portfolio</w:t>
            </w: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Work samples, records, photos, references and other documents, listed on a cover sheet against the unit</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Rules of evidence for each item; map items to requirements; identify gaps</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 Competency conversation</w:t>
            </w:r>
          </w:p>
        </w:tc>
        <w:tc>
          <w:tcPr>
            <w:tcW w:type="dxa" w:w="4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structured interview to test knowledge and confirm the portfolio is the candidate's own</w:t>
            </w:r>
          </w:p>
        </w:tc>
        <w:tc>
          <w:tcPr>
            <w:tcW w:type="dxa" w:w="3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Fill knowledge gaps, test authenticity and currency; probe without leading</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 Practical demonstration or workplace observation</w:t>
            </w: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Confirms current competency in practice</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Gaps the portfolio cannot fill, especially observed skills; on the candidate's own shift with real loads and equipment</w:t>
            </w:r>
          </w:p>
        </w:tc>
      </w:tr>
      <w:tr>
        <w:trPr>
          <w:cantSplit/>
        </w:trPr>
        <w:tc>
          <w:tcPr>
            <w:tcW w:type="dxa" w:w="2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 Third party report</w:t>
            </w:r>
          </w:p>
        </w:tc>
        <w:tc>
          <w:tcPr>
            <w:tcW w:type="dxa" w:w="4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From the candidate's supervisor or lead, verified by the assessor</w:t>
            </w:r>
          </w:p>
        </w:tc>
        <w:tc>
          <w:tcPr>
            <w:tcW w:type="dxa" w:w="3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specific report on the candidate's current work, verified by phone or in person and recorded</w:t>
            </w:r>
          </w:p>
        </w:tc>
      </w:tr>
      <w:tr>
        <w:trPr>
          <w:cantSplit/>
        </w:trPr>
        <w:tc>
          <w:tcPr>
            <w:tcW w:type="dxa" w:w="2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 Decision</w:t>
            </w:r>
          </w:p>
        </w:tc>
        <w:tc>
          <w:tcPr>
            <w:tcW w:type="dxa" w:w="4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Recorded on the decision record with the evidence relied on; full or partial recognition; gaps filled with targeted training and assessment; outcome letter; results to Student Services; appeal under SRA-RTO-008</w:t>
            </w:r>
          </w:p>
        </w:tc>
        <w:tc>
          <w:tcPr>
            <w:tcW w:type="dxa" w:w="3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Sufficiency across the whole unit; moderation before finalising (SRA-RTO-003 s9); clear reasons</w:t>
            </w:r>
          </w:p>
        </w:tc>
      </w:tr>
    </w:tbl>
    <w:p>
      <w:pPr>
        <w:keepNext/>
        <w:spacing w:before="200" w:after="80"/>
      </w:pPr>
      <w:r>
        <w:rPr>
          <w:rFonts w:ascii="Aptos Display" w:cs="Aptos Display" w:eastAsia="Aptos Display" w:hAnsi="Aptos Display"/>
          <w:b/>
          <w:bCs/>
          <w:color w:val="4F7F80"/>
          <w:sz w:val="24"/>
          <w:szCs w:val="24"/>
        </w:rPr>
        <w:t xml:space="preserve">5.1 Notes on the stages</w:t>
      </w:r>
    </w:p>
    <w:p>
      <w:pPr>
        <w:pStyle w:val="ListParagraph"/>
        <w:numPr>
          <w:ilvl w:val="0"/>
          <w:numId w:val="2"/>
        </w:numPr>
        <w:spacing w:after="60" w:line="264"/>
      </w:pPr>
      <w:r>
        <w:rPr>
          <w:rFonts w:ascii="Aptos" w:cs="Aptos" w:eastAsia="Aptos" w:hAnsi="Aptos"/>
          <w:color w:val="1E2833"/>
          <w:sz w:val="20"/>
          <w:szCs w:val="20"/>
        </w:rPr>
        <w:t xml:space="preserve">The order may change to suit the candidate (for example a candidate who "hates forms" may do the competency conversation before finishing the portfolio), but every stage that the RPL kit requires is completed before the decision.</w:t>
      </w:r>
    </w:p>
    <w:p>
      <w:pPr>
        <w:pStyle w:val="ListParagraph"/>
        <w:numPr>
          <w:ilvl w:val="0"/>
          <w:numId w:val="2"/>
        </w:numPr>
        <w:spacing w:after="60" w:line="264"/>
      </w:pPr>
      <w:r>
        <w:rPr>
          <w:rFonts w:ascii="Aptos" w:cs="Aptos" w:eastAsia="Aptos" w:hAnsi="Aptos"/>
          <w:color w:val="1E2833"/>
          <w:sz w:val="20"/>
          <w:szCs w:val="20"/>
        </w:rPr>
        <w:t xml:space="preserve">Practical requirements of a unit are always confirmed by a current demonstration or observation, or by a verified third party report together with other current evidence.</w:t>
      </w:r>
    </w:p>
    <w:p>
      <w:pPr>
        <w:pStyle w:val="ListParagraph"/>
        <w:numPr>
          <w:ilvl w:val="0"/>
          <w:numId w:val="2"/>
        </w:numPr>
        <w:spacing w:after="60" w:line="264"/>
      </w:pPr>
      <w:r>
        <w:rPr>
          <w:rFonts w:ascii="Aptos" w:cs="Aptos" w:eastAsia="Aptos" w:hAnsi="Aptos"/>
          <w:color w:val="1E2833"/>
          <w:sz w:val="20"/>
          <w:szCs w:val="20"/>
        </w:rPr>
        <w:t xml:space="preserve">Where the evidence shows competence in most but not all of a unit, the assessor records what is recognised and the gaps. The candidate does targeted training and assessment for the gaps only.</w:t>
      </w:r>
    </w:p>
    <w:p>
      <w:pPr>
        <w:pStyle w:val="ListParagraph"/>
        <w:numPr>
          <w:ilvl w:val="0"/>
          <w:numId w:val="2"/>
        </w:numPr>
        <w:spacing w:after="60" w:line="264"/>
      </w:pPr>
      <w:r>
        <w:rPr>
          <w:rFonts w:ascii="Aptos" w:cs="Aptos" w:eastAsia="Aptos" w:hAnsi="Aptos"/>
          <w:color w:val="1E2833"/>
          <w:sz w:val="20"/>
          <w:szCs w:val="20"/>
        </w:rPr>
        <w:t xml:space="preserve">The assessor gives the outcome and feedback as SRA-RTO-003 section 10 requires.</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Evidence rules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7552"/>
      </w:tblGrid>
      <w:tr>
        <w:trPr>
          <w:cantSplit/>
          <w:tblHeader/>
        </w:trPr>
        <w:tc>
          <w:tcPr>
            <w:tcW w:type="dxa" w:w="2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Rule</w:t>
            </w:r>
          </w:p>
        </w:tc>
        <w:tc>
          <w:tcPr>
            <w:tcW w:type="dxa" w:w="7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means for RPL at the Academy</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Currency</w:t>
            </w:r>
          </w:p>
        </w:tc>
        <w:tc>
          <w:tcPr>
            <w:tcW w:type="dxa" w:w="7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Evidence generally from the last 2 years; older evidence only with proof of current practice</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Authenticity</w:t>
            </w:r>
          </w:p>
        </w:tc>
        <w:tc>
          <w:tcPr>
            <w:tcW w:type="dxa" w:w="7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Originals sighted; third party reports verified by phone; documents in another language translated through People and Culture before they are relied on. The candidate signs a declaration that the portfolio is their own work</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Validity</w:t>
            </w:r>
          </w:p>
        </w:tc>
        <w:tc>
          <w:tcPr>
            <w:tcW w:type="dxa" w:w="7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Evidence of the unit's requirements as they apply at the Perth DC, not of a different job</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Sufficiency</w:t>
            </w:r>
          </w:p>
        </w:tc>
        <w:tc>
          <w:tcPr>
            <w:tcW w:type="dxa" w:w="7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More than one source for each requirement, covering every element, performance criterion, performance evidence, knowledge evidence and assessment condition</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Self-assessment</w:t>
            </w:r>
          </w:p>
        </w:tc>
        <w:tc>
          <w:tcPr>
            <w:tcW w:type="dxa" w:w="7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Never evidence of competence on its own</w:t>
            </w:r>
          </w:p>
        </w:tc>
      </w:tr>
      <w:tr>
        <w:trPr>
          <w:cantSplit/>
        </w:trPr>
        <w:tc>
          <w:tcPr>
            <w:tcW w:type="dxa" w:w="2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Privacy</w:t>
            </w:r>
          </w:p>
        </w:tc>
        <w:tc>
          <w:tcPr>
            <w:tcW w:type="dxa" w:w="7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Customer names, addresses and order details are covered on copies of workplace documents; no photos of other workers without their consent; original workplace records stay at the Perth DC and are sighted, not taken</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Timeframes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00"/>
        <w:gridCol w:w="5752"/>
      </w:tblGrid>
      <w:tr>
        <w:trPr>
          <w:cantSplit/>
          <w:tblHeader/>
        </w:trPr>
        <w:tc>
          <w:tcPr>
            <w:tcW w:type="dxa" w:w="4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5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Usual timeframe</w:t>
            </w:r>
          </w:p>
        </w:tc>
      </w:tr>
      <w:tr>
        <w:trPr>
          <w:cantSplit/>
        </w:trPr>
        <w:tc>
          <w:tcPr>
            <w:tcW w:type="dxa" w:w="4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Information meeting</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Within four weeks of the candidate asking for RPL or enrolling with RPL</w:t>
            </w:r>
          </w:p>
        </w:tc>
      </w:tr>
      <w:tr>
        <w:trPr>
          <w:cantSplit/>
        </w:trPr>
        <w:tc>
          <w:tcPr>
            <w:tcW w:type="dxa" w:w="4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Portfolio</w:t>
            </w:r>
          </w:p>
        </w:tc>
        <w:tc>
          <w:tcPr>
            <w:tcW w:type="dxa" w:w="5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Agreed with the candidate at the information meeting, usually within six weeks</w:t>
            </w:r>
          </w:p>
        </w:tc>
      </w:tr>
      <w:tr>
        <w:trPr>
          <w:cantSplit/>
        </w:trPr>
        <w:tc>
          <w:tcPr>
            <w:tcW w:type="dxa" w:w="4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Assessor review of the portfolio and next steps</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Within 10 business days of receiving the portfolio</w:t>
            </w:r>
          </w:p>
        </w:tc>
      </w:tr>
      <w:tr>
        <w:trPr>
          <w:cantSplit/>
        </w:trPr>
        <w:tc>
          <w:tcPr>
            <w:tcW w:type="dxa" w:w="4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Competency conversation and practical demonstration</w:t>
            </w:r>
          </w:p>
        </w:tc>
        <w:tc>
          <w:tcPr>
            <w:tcW w:type="dxa" w:w="5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Booked with the candidate and their supervisor on or next to the candidate's shift, with written notice at least 5 business days before (SRA-RTO-003 s5)</w:t>
            </w:r>
          </w:p>
        </w:tc>
      </w:tr>
      <w:tr>
        <w:trPr>
          <w:cantSplit/>
        </w:trPr>
        <w:tc>
          <w:tcPr>
            <w:tcW w:type="dxa" w:w="4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Outcome and feedback</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Within 5 business days of the last assessment event, after moderation (SRA-RTO-003 s9 and s10)</w:t>
            </w:r>
          </w:p>
        </w:tc>
      </w:tr>
      <w:tr>
        <w:trPr>
          <w:cantSplit/>
        </w:trPr>
        <w:tc>
          <w:tcPr>
            <w:tcW w:type="dxa" w:w="4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Results to Student Services</w:t>
            </w:r>
          </w:p>
        </w:tc>
        <w:tc>
          <w:tcPr>
            <w:tcW w:type="dxa" w:w="5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Within 5 business days of the final assessment (SRA-RTO-003 s11)</w:t>
            </w:r>
          </w:p>
        </w:tc>
      </w:tr>
      <w:tr>
        <w:trPr>
          <w:cantSplit/>
        </w:trPr>
        <w:tc>
          <w:tcPr>
            <w:tcW w:type="dxa" w:w="4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Credit transfer decision</w:t>
            </w:r>
          </w:p>
        </w:tc>
        <w:tc>
          <w:tcPr>
            <w:tcW w:type="dxa" w:w="5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Within 10 business days of receiving the documents or USI transcript access</w:t>
            </w:r>
          </w:p>
        </w:tc>
      </w:tr>
      <w:tr>
        <w:trPr>
          <w:cantSplit/>
        </w:trPr>
        <w:tc>
          <w:tcPr>
            <w:tcW w:type="dxa" w:w="4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Certification</w:t>
            </w:r>
          </w:p>
        </w:tc>
        <w:tc>
          <w:tcPr>
            <w:tcW w:type="dxa" w:w="5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Within 30 calendar days of the final assessment that completes the qualification or unit (Compliance Standards s9)</w:t>
            </w:r>
          </w:p>
        </w:tc>
      </w:tr>
    </w:tbl>
    <w:p>
      <w:pPr>
        <w:spacing w:before="120" w:after="120" w:line="276"/>
      </w:pPr>
      <w:r>
        <w:rPr>
          <w:rFonts w:ascii="Aptos" w:cs="Aptos" w:eastAsia="Aptos" w:hAnsi="Aptos"/>
          <w:color w:val="1E2833"/>
          <w:sz w:val="20"/>
          <w:szCs w:val="20"/>
        </w:rPr>
        <w:t xml:space="preserve">If a timeframe cannot be met, the assessor tells the candidate why and agrees a new date.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Support for RPL candidates</w:t>
      </w:r>
    </w:p>
    <w:p>
      <w:pPr>
        <w:pStyle w:val="ListParagraph"/>
        <w:numPr>
          <w:ilvl w:val="0"/>
          <w:numId w:val="2"/>
        </w:numPr>
        <w:spacing w:after="60" w:line="264"/>
      </w:pPr>
      <w:r>
        <w:rPr>
          <w:rFonts w:ascii="Aptos" w:cs="Aptos" w:eastAsia="Aptos" w:hAnsi="Aptos"/>
          <w:color w:val="1E2833"/>
          <w:sz w:val="20"/>
          <w:szCs w:val="20"/>
        </w:rPr>
        <w:t xml:space="preserve">A face-to-face explanation of RPL in plain English, with picture-supported information where it helps.</w:t>
      </w:r>
    </w:p>
    <w:p>
      <w:pPr>
        <w:pStyle w:val="ListParagraph"/>
        <w:numPr>
          <w:ilvl w:val="0"/>
          <w:numId w:val="2"/>
        </w:numPr>
        <w:spacing w:after="60" w:line="264"/>
      </w:pPr>
      <w:r>
        <w:rPr>
          <w:rFonts w:ascii="Aptos" w:cs="Aptos" w:eastAsia="Aptos" w:hAnsi="Aptos"/>
          <w:color w:val="1E2833"/>
          <w:sz w:val="20"/>
          <w:szCs w:val="20"/>
        </w:rPr>
        <w:t xml:space="preserve">Help to collect and list evidence, including asking supervisors and People and Culture for records.</w:t>
      </w:r>
    </w:p>
    <w:p>
      <w:pPr>
        <w:pStyle w:val="ListParagraph"/>
        <w:numPr>
          <w:ilvl w:val="0"/>
          <w:numId w:val="2"/>
        </w:numPr>
        <w:spacing w:after="60" w:line="264"/>
      </w:pPr>
      <w:r>
        <w:rPr>
          <w:rFonts w:ascii="Aptos" w:cs="Aptos" w:eastAsia="Aptos" w:hAnsi="Aptos"/>
          <w:color w:val="1E2833"/>
          <w:sz w:val="20"/>
          <w:szCs w:val="20"/>
        </w:rPr>
        <w:t xml:space="preserve">Oral options: the competency conversation replaces written answers where the kit allows, and answers are recorded by the assessor.</w:t>
      </w:r>
    </w:p>
    <w:p>
      <w:pPr>
        <w:pStyle w:val="ListParagraph"/>
        <w:numPr>
          <w:ilvl w:val="0"/>
          <w:numId w:val="2"/>
        </w:numPr>
        <w:spacing w:after="60" w:line="264"/>
      </w:pPr>
      <w:r>
        <w:rPr>
          <w:rFonts w:ascii="Aptos" w:cs="Aptos" w:eastAsia="Aptos" w:hAnsi="Aptos"/>
          <w:color w:val="1E2833"/>
          <w:sz w:val="20"/>
          <w:szCs w:val="20"/>
        </w:rPr>
        <w:t xml:space="preserve">A certified interpreter booked through People and Culture with at least 5 business days' notice (SRA-RTO-006 section 7), and translation of documents in another language.</w:t>
      </w:r>
    </w:p>
    <w:p>
      <w:pPr>
        <w:pStyle w:val="ListParagraph"/>
        <w:numPr>
          <w:ilvl w:val="0"/>
          <w:numId w:val="2"/>
        </w:numPr>
        <w:spacing w:after="60" w:line="264"/>
      </w:pPr>
      <w:r>
        <w:rPr>
          <w:rFonts w:ascii="Aptos" w:cs="Aptos" w:eastAsia="Aptos" w:hAnsi="Aptos"/>
          <w:color w:val="1E2833"/>
          <w:sz w:val="20"/>
          <w:szCs w:val="20"/>
        </w:rPr>
        <w:t xml:space="preserve">A support person at meetings if the candidate wants one. The support person does not answer for the candidate.</w:t>
      </w:r>
    </w:p>
    <w:p>
      <w:pPr>
        <w:pStyle w:val="ListParagraph"/>
        <w:numPr>
          <w:ilvl w:val="0"/>
          <w:numId w:val="2"/>
        </w:numPr>
        <w:spacing w:after="60" w:line="264"/>
      </w:pPr>
      <w:r>
        <w:rPr>
          <w:rFonts w:ascii="Aptos" w:cs="Aptos" w:eastAsia="Aptos" w:hAnsi="Aptos"/>
          <w:color w:val="1E2833"/>
          <w:sz w:val="20"/>
          <w:szCs w:val="20"/>
        </w:rPr>
        <w:t xml:space="preserve">Reasonable adjustment for disability, agreed with the candidate and Leanne Okafor (SRA-RTO-003 s6; SRA-RTO-006).</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Credit transfer procedure</w:t>
      </w:r>
    </w:p>
    <w:p>
      <w:pPr>
        <w:pStyle w:val="ListParagraph"/>
        <w:numPr>
          <w:ilvl w:val="0"/>
          <w:numId w:val="3"/>
        </w:numPr>
        <w:spacing w:after="60" w:line="264"/>
      </w:pPr>
      <w:r>
        <w:rPr>
          <w:rFonts w:ascii="Aptos" w:cs="Aptos" w:eastAsia="Aptos" w:hAnsi="Aptos"/>
          <w:color w:val="1E2833"/>
          <w:sz w:val="20"/>
          <w:szCs w:val="20"/>
        </w:rPr>
        <w:t xml:space="preserve">At enrolment, Ivy Chua asks every learner about previous nationally recognised training and records any units they hold.</w:t>
      </w:r>
    </w:p>
    <w:p>
      <w:pPr>
        <w:pStyle w:val="ListParagraph"/>
        <w:numPr>
          <w:ilvl w:val="0"/>
          <w:numId w:val="3"/>
        </w:numPr>
        <w:spacing w:after="60" w:line="264"/>
      </w:pPr>
      <w:r>
        <w:rPr>
          <w:rFonts w:ascii="Aptos" w:cs="Aptos" w:eastAsia="Aptos" w:hAnsi="Aptos"/>
          <w:color w:val="1E2833"/>
          <w:sz w:val="20"/>
          <w:szCs w:val="20"/>
        </w:rPr>
        <w:t xml:space="preserve">The learner gives the original document or permission to view their USI transcript.</w:t>
      </w:r>
    </w:p>
    <w:p>
      <w:pPr>
        <w:pStyle w:val="ListParagraph"/>
        <w:numPr>
          <w:ilvl w:val="0"/>
          <w:numId w:val="3"/>
        </w:numPr>
        <w:spacing w:after="60" w:line="264"/>
      </w:pPr>
      <w:r>
        <w:rPr>
          <w:rFonts w:ascii="Aptos" w:cs="Aptos" w:eastAsia="Aptos" w:hAnsi="Aptos"/>
          <w:color w:val="1E2833"/>
          <w:sz w:val="20"/>
          <w:szCs w:val="20"/>
        </w:rPr>
        <w:t xml:space="preserve">Ivy Chua verifies the document with the issuing RTO, or checks the USI transcript, and checks on training.gov.au that the unit is the same unit or an equivalent unit.</w:t>
      </w:r>
    </w:p>
    <w:p>
      <w:pPr>
        <w:pStyle w:val="ListParagraph"/>
        <w:numPr>
          <w:ilvl w:val="0"/>
          <w:numId w:val="3"/>
        </w:numPr>
        <w:spacing w:after="60" w:line="264"/>
      </w:pPr>
      <w:r>
        <w:rPr>
          <w:rFonts w:ascii="Aptos" w:cs="Aptos" w:eastAsia="Aptos" w:hAnsi="Aptos"/>
          <w:color w:val="1E2833"/>
          <w:sz w:val="20"/>
          <w:szCs w:val="20"/>
        </w:rPr>
        <w:t xml:space="preserve">Rohan Desai confirms the decision. Credit transfer is recorded in the SMS as credit transfer (not RPL) and the learner is told in writing.</w:t>
      </w:r>
    </w:p>
    <w:p>
      <w:pPr>
        <w:pStyle w:val="ListParagraph"/>
        <w:numPr>
          <w:ilvl w:val="0"/>
          <w:numId w:val="3"/>
        </w:numPr>
        <w:spacing w:after="60" w:line="264"/>
      </w:pPr>
      <w:r>
        <w:rPr>
          <w:rFonts w:ascii="Aptos" w:cs="Aptos" w:eastAsia="Aptos" w:hAnsi="Aptos"/>
          <w:color w:val="1E2833"/>
          <w:sz w:val="20"/>
          <w:szCs w:val="20"/>
        </w:rPr>
        <w:t xml:space="preserve">If the document cannot be verified, or the unit is not equivalent, the learner is offered RPL or training, and told they may appeal (SRA-RTO-008).</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10. Appeals</w:t>
      </w:r>
    </w:p>
    <w:p>
      <w:pPr>
        <w:spacing w:before="0" w:after="120" w:line="276"/>
      </w:pPr>
      <w:r>
        <w:rPr>
          <w:rFonts w:ascii="Aptos" w:cs="Aptos" w:eastAsia="Aptos" w:hAnsi="Aptos"/>
          <w:color w:val="1E2833"/>
          <w:sz w:val="20"/>
          <w:szCs w:val="20"/>
        </w:rPr>
        <w:t xml:space="preserve">A candidate may appeal any RPL or credit transfer decision under SRA-RTO-008 Complaints and Appeals Policy and Procedure: within 30 days; acknowledged within 2 business days; decided within 15 business days; an appealed RPL assessment is re-assessed by a different assessor; final internal decision by the Academy Manager; independent review at no cost if the candidate asks. Candidates are told this at the information meeting and in every outcome letter.</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11. Records</w:t>
      </w:r>
    </w:p>
    <w:p>
      <w:pPr>
        <w:pStyle w:val="ListParagraph"/>
        <w:numPr>
          <w:ilvl w:val="0"/>
          <w:numId w:val="2"/>
        </w:numPr>
        <w:spacing w:after="60" w:line="264"/>
      </w:pPr>
      <w:r>
        <w:rPr>
          <w:rFonts w:ascii="Aptos" w:cs="Aptos" w:eastAsia="Aptos" w:hAnsi="Aptos"/>
          <w:color w:val="1E2833"/>
          <w:sz w:val="20"/>
          <w:szCs w:val="20"/>
        </w:rPr>
        <w:t xml:space="preserve">The decision record, outcome letter, self-assessment, portfolio cover sheet, conversation record, demonstration checklist, third party report and verification notes are stored in the candidate's SMS file. Originals are returned to the candidate.</w:t>
      </w:r>
    </w:p>
    <w:p>
      <w:pPr>
        <w:pStyle w:val="ListParagraph"/>
        <w:numPr>
          <w:ilvl w:val="0"/>
          <w:numId w:val="2"/>
        </w:numPr>
        <w:spacing w:after="60" w:line="264"/>
      </w:pPr>
      <w:r>
        <w:rPr>
          <w:rFonts w:ascii="Aptos" w:cs="Aptos" w:eastAsia="Aptos" w:hAnsi="Aptos"/>
          <w:color w:val="1E2833"/>
          <w:sz w:val="20"/>
          <w:szCs w:val="20"/>
        </w:rPr>
        <w:t xml:space="preserve">Completed assessment evidence is kept for 2 years after the learner completes the training product; certification records for 30 years (Compliance Standards s10).</w:t>
      </w:r>
    </w:p>
    <w:p>
      <w:pPr>
        <w:pStyle w:val="ListParagraph"/>
        <w:numPr>
          <w:ilvl w:val="0"/>
          <w:numId w:val="2"/>
        </w:numPr>
        <w:spacing w:after="60" w:line="264"/>
      </w:pPr>
      <w:r>
        <w:rPr>
          <w:rFonts w:ascii="Aptos" w:cs="Aptos" w:eastAsia="Aptos" w:hAnsi="Aptos"/>
          <w:color w:val="1E2833"/>
          <w:sz w:val="20"/>
          <w:szCs w:val="20"/>
        </w:rPr>
        <w:t xml:space="preserve">Results are recorded in the SMS as RPL or credit transfer so that AVETMISS reporting is accurate.</w:t>
      </w:r>
    </w:p>
    <w:p>
      <w:pPr>
        <w:pStyle w:val="ListParagraph"/>
        <w:numPr>
          <w:ilvl w:val="0"/>
          <w:numId w:val="2"/>
        </w:numPr>
        <w:spacing w:after="60" w:line="264"/>
      </w:pPr>
      <w:r>
        <w:rPr>
          <w:rFonts w:ascii="Aptos" w:cs="Aptos" w:eastAsia="Aptos" w:hAnsi="Aptos"/>
          <w:color w:val="1E2833"/>
          <w:sz w:val="20"/>
          <w:szCs w:val="20"/>
        </w:rPr>
        <w:t xml:space="preserve">Personal information is handled under SRL-CR-018 and the Privacy Act 1988 (Compliance Standards s20).</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12.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policy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Quality and Compliance Coordinator (Rohan Desai)</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policy; allocates RPL assessors; confirms credit transfer decisions; keeps RPL kits in the tool library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Lead Trainer and Assessor (Craig Moretti)</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Moderates RPL judgements before they are finalised (SRA-RTO-003 s9)</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assessors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Conduct RPL under this policy and SRA-RTO-003; verify third party evidence; make and record the decision. People under direction collect evidence only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Student Services and Records Officer (Ivy Chua)</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Offers RPL and credit transfer at enrolment; verifies AQF documents and USI transcripts; records outcomes; issues certificates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People and Culture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Interpreters and translation; supplies employment records the candidate asks for</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Workplace supervisors and leads</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Complete third party reports honestly from their own observation; take calls from the assessor to verify them; do not make judgements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Candidates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Provide honest, authentic evidence; tell the assessor about support needs; take part in each stage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13. Related documents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w:t>
      </w:r>
    </w:p>
    <w:p>
      <w:pPr>
        <w:pStyle w:val="ListParagraph"/>
        <w:numPr>
          <w:ilvl w:val="0"/>
          <w:numId w:val="2"/>
        </w:numPr>
        <w:spacing w:after="60" w:line="264"/>
      </w:pPr>
      <w:r>
        <w:rPr>
          <w:rFonts w:ascii="Aptos" w:cs="Aptos" w:eastAsia="Aptos" w:hAnsi="Aptos"/>
          <w:color w:val="1E2833"/>
          <w:sz w:val="20"/>
          <w:szCs w:val="20"/>
        </w:rPr>
        <w:t xml:space="preserve">SRA-RTO-006 Language, Literacy, Numeracy and Learner Support Policy; SRA-RTO-007 Enrolment and Pre-training Review Procedure</w:t>
      </w:r>
    </w:p>
    <w:p>
      <w:pPr>
        <w:pStyle w:val="ListParagraph"/>
        <w:numPr>
          <w:ilvl w:val="0"/>
          <w:numId w:val="2"/>
        </w:numPr>
        <w:spacing w:after="60" w:line="264"/>
      </w:pPr>
      <w:r>
        <w:rPr>
          <w:rFonts w:ascii="Aptos" w:cs="Aptos" w:eastAsia="Aptos" w:hAnsi="Aptos"/>
          <w:color w:val="1E2833"/>
          <w:sz w:val="20"/>
          <w:szCs w:val="20"/>
        </w:rPr>
        <w:t xml:space="preserve">SRA-RTO-008 Complaints and Appeals Policy and Procedure; SRA-RTO-010 Learner Handbook</w:t>
      </w:r>
    </w:p>
    <w:p>
      <w:pPr>
        <w:pStyle w:val="ListParagraph"/>
        <w:numPr>
          <w:ilvl w:val="0"/>
          <w:numId w:val="2"/>
        </w:numPr>
        <w:spacing w:after="60" w:line="264"/>
      </w:pPr>
      <w:r>
        <w:rPr>
          <w:rFonts w:ascii="Aptos" w:cs="Aptos" w:eastAsia="Aptos" w:hAnsi="Aptos"/>
          <w:color w:val="1E2833"/>
          <w:sz w:val="20"/>
          <w:szCs w:val="20"/>
        </w:rPr>
        <w:t xml:space="preserve">SRA-RTO-024 RPL Kit: TLID0020 and TLIA0010; SRA-RTO-025 Assessment Tool Template; SRA-RTO-026 Assessment Mapping Template</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14. Standards and legislation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0"/>
        <w:gridCol w:w="3752"/>
      </w:tblGrid>
      <w:tr>
        <w:trPr>
          <w:cantSplit/>
          <w:tblHeader/>
        </w:trPr>
        <w:tc>
          <w:tcPr>
            <w:tcW w:type="dxa" w:w="6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1.6: RPL offered and decided through the assessment system</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5 to 8</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1.7: credit transfer on AQF certification documentation or an authenticated USI transcript</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4 and 9</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1.4: principles of assessment and rules of evidence</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5 and 6 (with SRA-RTO-003)</w:t>
            </w:r>
          </w:p>
        </w:tc>
      </w:tr>
      <w:tr>
        <w:trPr>
          <w:cantSplit/>
        </w:trPr>
        <w:tc>
          <w:tcPr>
            <w:tcW w:type="dxa" w:w="6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2.8: appeals</w:t>
            </w:r>
          </w:p>
        </w:tc>
        <w:tc>
          <w:tcPr>
            <w:tcW w:type="dxa" w:w="3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10</w:t>
            </w:r>
          </w:p>
        </w:tc>
      </w:tr>
      <w:tr>
        <w:trPr>
          <w:cantSplit/>
        </w:trPr>
        <w:tc>
          <w:tcPr>
            <w:tcW w:type="dxa" w:w="6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ss9, 10, 12 and 20: certification, records, USI, privacy</w:t>
            </w:r>
          </w:p>
        </w:tc>
        <w:tc>
          <w:tcPr>
            <w:tcW w:type="dxa" w:w="3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7, 9 and 11</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(Standards 1.6 and 1.7) and TLI30325. RPL stages aligned with the RPL kits; currency rule set to match SRA-RTO-024; credit transfer examples updated for TLI30325 units; moderation of every RPL judgement added.</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SRA-RTO-005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SRA-RTO-005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SRA-RTO-005  ·  Recognition of Prior Learning and Credit Transfer Policy and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SRA-RTO-005 Recognition of Prior Learning and Credit Transfer Policy and Procedure</dc:title>
  <dc:creator>SteelRiver Logistics Pty Ltd trading as SteelRiver Academy</dc:creator>
  <cp:lastModifiedBy>Un-named</cp:lastModifiedBy>
  <cp:revision>1</cp:revision>
  <dcterms:created xsi:type="dcterms:W3CDTF">2026-11-01T14:49:45.695Z</dcterms:created>
  <dcterms:modified xsi:type="dcterms:W3CDTF">2026-11-01T14:49:45.695Z</dcterms:modified>
</cp:coreProperties>
</file>

<file path=docProps/custom.xml><?xml version="1.0" encoding="utf-8"?>
<Properties xmlns="http://schemas.openxmlformats.org/officeDocument/2006/custom-properties" xmlns:vt="http://schemas.openxmlformats.org/officeDocument/2006/docPropsVTypes"/>
</file>