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PROCEDURE</w:t>
            </w:r>
          </w:p>
          <w:p>
            <w:pPr>
              <w:spacing w:after="0"/>
              <w:jc w:val="right"/>
            </w:pPr>
            <w:r>
              <w:rPr>
                <w:rFonts w:ascii="Aptos Display" w:cs="Aptos Display" w:eastAsia="Aptos Display" w:hAnsi="Aptos Display"/>
                <w:b/>
                <w:bCs/>
                <w:color w:val="0E4D4F"/>
                <w:sz w:val="36"/>
                <w:szCs w:val="36"/>
              </w:rPr>
              <w:t xml:space="preserve">SRA-RTO-007</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Enrolment and Pre-training Review Procedure</w:t>
      </w:r>
    </w:p>
    <w:p>
      <w:pPr>
        <w:spacing w:before="0" w:after="160" w:line="276"/>
      </w:pPr>
      <w:r>
        <w:rPr>
          <w:rFonts w:ascii="Aptos" w:cs="Aptos" w:eastAsia="Aptos" w:hAnsi="Aptos"/>
          <w:color w:val="4F7F80"/>
          <w:sz w:val="24"/>
          <w:szCs w:val="24"/>
        </w:rPr>
        <w:t xml:space="preserve">Steps for informing, reviewing and enrolling learners in TLI30325 or a single unit, with the pre-training review form and enrolment checklist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SRA-RTO-007</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Ivy Chua, Student Services and Records Officer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January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Gemma Whitfield, Academy Manager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January 2027</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Student Services, Academy trainers and the LLN lead, People and Culture (HR), and applicants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Purpose and scope</w:t>
      </w:r>
    </w:p>
    <w:p>
      <w:pPr>
        <w:spacing w:before="0" w:after="120" w:line="276"/>
      </w:pPr>
      <w:r>
        <w:rPr>
          <w:rFonts w:ascii="Aptos" w:cs="Aptos" w:eastAsia="Aptos" w:hAnsi="Aptos"/>
          <w:color w:val="1E2833"/>
          <w:sz w:val="20"/>
          <w:szCs w:val="20"/>
        </w:rPr>
        <w:t xml:space="preserve">This procedure makes sure every person who enrols with SteelRiver Academy (the Academy) knows what they are enrolling in before they agree, is enrolled in training that suits them, and has the support they need from the start (Standards 2.1 and 2.2; Compliance Standards s12).</w:t>
      </w:r>
    </w:p>
    <w:p>
      <w:pPr>
        <w:spacing w:before="0" w:after="120" w:line="276"/>
      </w:pPr>
      <w:r>
        <w:rPr>
          <w:rFonts w:ascii="Aptos" w:cs="Aptos" w:eastAsia="Aptos" w:hAnsi="Aptos"/>
          <w:color w:val="1E2833"/>
          <w:sz w:val="20"/>
          <w:szCs w:val="20"/>
        </w:rPr>
        <w:t xml:space="preserve">It applies to every enrolment in TLI30325 Certificate III in Supply Chain Operations through the Warehouse Skills Program, every single-unit enrolment (Statement of Attainment), and every RPL enrolment.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Eligibility</w:t>
      </w:r>
    </w:p>
    <w:p>
      <w:pPr>
        <w:pStyle w:val="ListParagraph"/>
        <w:numPr>
          <w:ilvl w:val="0"/>
          <w:numId w:val="2"/>
        </w:numPr>
        <w:spacing w:after="60" w:line="264"/>
      </w:pPr>
      <w:r>
        <w:rPr>
          <w:rFonts w:ascii="Aptos" w:cs="Aptos" w:eastAsia="Aptos" w:hAnsi="Aptos"/>
          <w:color w:val="1E2833"/>
          <w:sz w:val="20"/>
          <w:szCs w:val="20"/>
        </w:rPr>
        <w:t xml:space="preserve">The Academy is an enterprise RTO. Only SteelRiver employees and casual workers at the Perth DC can enrol. The Academy does not enrol members of the public.</w:t>
      </w:r>
    </w:p>
    <w:p>
      <w:pPr>
        <w:pStyle w:val="ListParagraph"/>
        <w:numPr>
          <w:ilvl w:val="0"/>
          <w:numId w:val="2"/>
        </w:numPr>
        <w:spacing w:after="60" w:line="264"/>
      </w:pPr>
      <w:r>
        <w:rPr>
          <w:rFonts w:ascii="Aptos" w:cs="Aptos" w:eastAsia="Aptos" w:hAnsi="Aptos"/>
          <w:color w:val="1E2833"/>
          <w:sz w:val="20"/>
          <w:szCs w:val="20"/>
        </w:rPr>
        <w:t xml:space="preserve">Every applicant completes the SteelRiver induction (SRL-CR-048 Induction Procedure) before enrolment.</w:t>
      </w:r>
    </w:p>
    <w:p>
      <w:pPr>
        <w:pStyle w:val="ListParagraph"/>
        <w:numPr>
          <w:ilvl w:val="0"/>
          <w:numId w:val="2"/>
        </w:numPr>
        <w:spacing w:after="60" w:line="264"/>
      </w:pPr>
      <w:r>
        <w:rPr>
          <w:rFonts w:ascii="Aptos" w:cs="Aptos" w:eastAsia="Aptos" w:hAnsi="Aptos"/>
          <w:color w:val="1E2833"/>
          <w:sz w:val="20"/>
          <w:szCs w:val="20"/>
        </w:rPr>
        <w:t xml:space="preserve">TLI30325 has no entry requirements and its units have no prerequisites. Suitability is decided through the pre-training review (section 5), not by a test the applicant must pass.</w:t>
      </w:r>
    </w:p>
    <w:p>
      <w:pPr>
        <w:pStyle w:val="ListParagraph"/>
        <w:numPr>
          <w:ilvl w:val="0"/>
          <w:numId w:val="2"/>
        </w:numPr>
        <w:spacing w:after="60" w:line="264"/>
      </w:pPr>
      <w:r>
        <w:rPr>
          <w:rFonts w:ascii="Aptos" w:cs="Aptos" w:eastAsia="Aptos" w:hAnsi="Aptos"/>
          <w:color w:val="1E2833"/>
          <w:sz w:val="20"/>
          <w:szCs w:val="20"/>
        </w:rPr>
        <w:t xml:space="preserve">Enrolment is approved by SteelRiver for the Warehouse Skills Program (new starters and existing workers) or for a single-unit program (for example casuals).</w:t>
      </w:r>
    </w:p>
    <w:p>
      <w:pPr>
        <w:pStyle w:val="ListParagraph"/>
        <w:numPr>
          <w:ilvl w:val="0"/>
          <w:numId w:val="2"/>
        </w:numPr>
        <w:spacing w:after="60" w:line="264"/>
      </w:pPr>
      <w:r>
        <w:rPr>
          <w:rFonts w:ascii="Aptos" w:cs="Aptos" w:eastAsia="Aptos" w:hAnsi="Aptos"/>
          <w:color w:val="1E2833"/>
          <w:sz w:val="20"/>
          <w:szCs w:val="20"/>
        </w:rPr>
        <w:t xml:space="preserve">There are no fees. SteelRiver pays all costs and training is in paid time.</w:t>
      </w:r>
    </w:p>
    <w:p>
      <w:pPr>
        <w:pStyle w:val="ListParagraph"/>
        <w:numPr>
          <w:ilvl w:val="0"/>
          <w:numId w:val="2"/>
        </w:numPr>
        <w:spacing w:after="60" w:line="264"/>
      </w:pPr>
      <w:r>
        <w:rPr>
          <w:rFonts w:ascii="Aptos" w:cs="Aptos" w:eastAsia="Aptos" w:hAnsi="Aptos"/>
          <w:color w:val="1E2833"/>
          <w:sz w:val="20"/>
          <w:szCs w:val="20"/>
        </w:rPr>
        <w:t xml:space="preserve">An applicant under 18 can enrol only after the steps in SRA-RTO-006 section 10 are complete.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Information before enrolment</w:t>
      </w:r>
    </w:p>
    <w:p>
      <w:pPr>
        <w:spacing w:before="0" w:after="120" w:line="276"/>
      </w:pPr>
      <w:r>
        <w:rPr>
          <w:rFonts w:ascii="Aptos" w:cs="Aptos" w:eastAsia="Aptos" w:hAnsi="Aptos"/>
          <w:color w:val="1E2833"/>
          <w:sz w:val="20"/>
          <w:szCs w:val="20"/>
        </w:rPr>
        <w:t xml:space="preserve">Before a person agrees to enrol, Ivy Chua and the trainers give them the information they need to make an informed decision (Standard 2.1). Information is given in plain English, with pictures, and through an interpreter where needed.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00"/>
        <w:gridCol w:w="3552"/>
      </w:tblGrid>
      <w:tr>
        <w:trPr>
          <w:cantSplit/>
          <w:tblHeader/>
        </w:trPr>
        <w:tc>
          <w:tcPr>
            <w:tcW w:type="dxa" w:w="6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Information</w:t>
            </w:r>
          </w:p>
        </w:tc>
        <w:tc>
          <w:tcPr>
            <w:tcW w:type="dxa" w:w="3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it is given</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training product code and title exactly as on training.gov.au (TLI30325 Certificate III in Supply Chain Operations, or the unit code and title), and that the Academy is RTO 99999 (simulated)</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 Handbook (SRA-RTO-010); program flyer; enrolment form</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long the program takes, where and when training happens (Training Room 1, the training bay, the live floor, the Academy site), and how release from the floor works</w:t>
            </w:r>
          </w:p>
        </w:tc>
        <w:tc>
          <w:tcPr>
            <w:tcW w:type="dxa" w:w="3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 Handbook; information session</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How learners are assessed, and that RPL and credit transfer are available (SRA-RTO-005)</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 Handbook; information session</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support available (LLN, interpreters, reasonable adjustment, wellbeing, EAP)</w:t>
            </w:r>
          </w:p>
        </w:tc>
        <w:tc>
          <w:tcPr>
            <w:tcW w:type="dxa" w:w="3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 Handbook; pre-training review</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That there are no fees, and what SteelRiver provides (paid time, PPE, resources)</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 Handbook; enrolment form</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Rights and responsibilities, how to complain or appeal (SRA-RTO-008), and how personal information and the USI are used</w:t>
            </w:r>
          </w:p>
        </w:tc>
        <w:tc>
          <w:tcPr>
            <w:tcW w:type="dxa" w:w="3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 Handbook; privacy notice on the enrolment form</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certificate they will receive (testamur and record of results, or Statement of Attainment) and when</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 Handbook</w:t>
            </w:r>
          </w:p>
        </w:tc>
      </w:tr>
    </w:tbl>
    <w:p>
      <w:pPr>
        <w:spacing w:before="120" w:after="120" w:line="276"/>
      </w:pPr>
      <w:r>
        <w:rPr>
          <w:rFonts w:ascii="Aptos" w:cs="Aptos" w:eastAsia="Aptos" w:hAnsi="Aptos"/>
          <w:color w:val="1E2833"/>
          <w:sz w:val="20"/>
          <w:szCs w:val="20"/>
        </w:rPr>
        <w:t xml:space="preserve">Staff answer questions accurately and never promise an outcome, a job or a pay rise.</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Unique Student Identifier (USI)</w:t>
      </w:r>
    </w:p>
    <w:p>
      <w:pPr>
        <w:pStyle w:val="ListParagraph"/>
        <w:numPr>
          <w:ilvl w:val="0"/>
          <w:numId w:val="3"/>
        </w:numPr>
        <w:spacing w:after="60" w:line="264"/>
      </w:pPr>
      <w:r>
        <w:rPr>
          <w:rFonts w:ascii="Aptos" w:cs="Aptos" w:eastAsia="Aptos" w:hAnsi="Aptos"/>
          <w:color w:val="1E2833"/>
          <w:sz w:val="20"/>
          <w:szCs w:val="20"/>
        </w:rPr>
        <w:t xml:space="preserve">Ivy Chua asks each applicant for their USI on the enrolment form, or helps them create one on the USI website with their permission.</w:t>
      </w:r>
    </w:p>
    <w:p>
      <w:pPr>
        <w:pStyle w:val="ListParagraph"/>
        <w:numPr>
          <w:ilvl w:val="0"/>
          <w:numId w:val="3"/>
        </w:numPr>
        <w:spacing w:after="60" w:line="264"/>
      </w:pPr>
      <w:r>
        <w:rPr>
          <w:rFonts w:ascii="Aptos" w:cs="Aptos" w:eastAsia="Aptos" w:hAnsi="Aptos"/>
          <w:color w:val="1E2833"/>
          <w:sz w:val="20"/>
          <w:szCs w:val="20"/>
        </w:rPr>
        <w:t xml:space="preserve">Ivy Chua verifies the USI through the USI Registry before it is used, and records that it is verified in the SMS.</w:t>
      </w:r>
    </w:p>
    <w:p>
      <w:pPr>
        <w:pStyle w:val="ListParagraph"/>
        <w:numPr>
          <w:ilvl w:val="0"/>
          <w:numId w:val="3"/>
        </w:numPr>
        <w:spacing w:after="60" w:line="264"/>
      </w:pPr>
      <w:r>
        <w:rPr>
          <w:rFonts w:ascii="Aptos" w:cs="Aptos" w:eastAsia="Aptos" w:hAnsi="Aptos"/>
          <w:color w:val="1E2833"/>
          <w:sz w:val="20"/>
          <w:szCs w:val="20"/>
        </w:rPr>
        <w:t xml:space="preserve">With the learner's permission, Ivy Chua views their USI transcript to check for units already completed (credit transfer, SRA-RTO-005).</w:t>
      </w:r>
    </w:p>
    <w:p>
      <w:pPr>
        <w:pStyle w:val="ListParagraph"/>
        <w:numPr>
          <w:ilvl w:val="0"/>
          <w:numId w:val="3"/>
        </w:numPr>
        <w:spacing w:after="60" w:line="264"/>
      </w:pPr>
      <w:r>
        <w:rPr>
          <w:rFonts w:ascii="Aptos" w:cs="Aptos" w:eastAsia="Aptos" w:hAnsi="Aptos"/>
          <w:color w:val="1E2833"/>
          <w:sz w:val="20"/>
          <w:szCs w:val="20"/>
        </w:rPr>
        <w:t xml:space="preserve">The USI is stored only in the SMS. It is never printed on a certificate, emailed to supervisors or written on assessment records (Compliance Standards s12; Student Identifiers Act 2014).</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Pre-training review</w:t>
      </w:r>
    </w:p>
    <w:p>
      <w:pPr>
        <w:spacing w:before="0" w:after="120" w:line="276"/>
      </w:pPr>
      <w:r>
        <w:rPr>
          <w:rFonts w:ascii="Aptos" w:cs="Aptos" w:eastAsia="Aptos" w:hAnsi="Aptos"/>
          <w:color w:val="1E2833"/>
          <w:sz w:val="20"/>
          <w:szCs w:val="20"/>
        </w:rPr>
        <w:t xml:space="preserve">Every applicant has a pre-training review that looks at their skills, prior learning, language, literacy, numeracy and digital literacy, so the Academy can advise whether the program suits them and what support they need (Standard 2.2). The review has two parts.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1900"/>
        <w:gridCol w:w="2400"/>
        <w:gridCol w:w="3452"/>
      </w:tblGrid>
      <w:tr>
        <w:trPr>
          <w:cantSplit/>
          <w:tblHeader/>
        </w:trPr>
        <w:tc>
          <w:tcPr>
            <w:tcW w:type="dxa" w:w="2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Part</w:t>
            </w:r>
          </w:p>
        </w:tc>
        <w:tc>
          <w:tcPr>
            <w:tcW w:type="dxa" w:w="19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w:t>
            </w:r>
          </w:p>
        </w:tc>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c>
          <w:tcPr>
            <w:tcW w:type="dxa" w:w="3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it covers</w:t>
            </w:r>
          </w:p>
        </w:tc>
      </w:tr>
      <w:tr>
        <w:trPr>
          <w:cantSplit/>
        </w:trPr>
        <w:tc>
          <w:tcPr>
            <w:tcW w:type="dxa" w:w="2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suitability review</w:t>
            </w:r>
          </w:p>
        </w:tc>
        <w:tc>
          <w:tcPr>
            <w:tcW w:type="dxa" w:w="19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the enrolment is confirmed</w:t>
            </w:r>
          </w:p>
        </w:tc>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trainer, with Ivy Chua; certified interpreter if needed</w:t>
            </w:r>
          </w:p>
        </w:tc>
        <w:tc>
          <w:tcPr>
            <w:tcW w:type="dxa" w:w="3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applicant's job, shift and goals; work history and prior learning; any nationally recognised units held; language background; self-reported reading, writing, numbers and digital skills; support needs and requests for reasonable adjustment; the advice on suitability</w:t>
            </w:r>
          </w:p>
        </w:tc>
      </w:tr>
      <w:tr>
        <w:trPr>
          <w:cantSplit/>
        </w:trPr>
        <w:tc>
          <w:tcPr>
            <w:tcW w:type="dxa" w:w="2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LLN and digital review</w:t>
            </w:r>
          </w:p>
        </w:tc>
        <w:tc>
          <w:tcPr>
            <w:tcW w:type="dxa" w:w="19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 the induction week, before training starts</w:t>
            </w:r>
          </w:p>
        </w:tc>
        <w:tc>
          <w:tcPr>
            <w:tcW w:type="dxa" w:w="24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 (LLN lead) or a trainer she briefs; certified interpreter if needed</w:t>
            </w:r>
          </w:p>
        </w:tc>
        <w:tc>
          <w:tcPr>
            <w:tcW w:type="dxa" w:w="3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short ACSF-referenced review of learning, reading, writing, oral communication and numeracy, and a digital skills check, using real SteelRiver documents and tasks (for example a carton label, a docket, a location label and the RF scanner)</w:t>
            </w:r>
          </w:p>
        </w:tc>
      </w:tr>
    </w:tbl>
    <w:p>
      <w:pPr>
        <w:pStyle w:val="ListParagraph"/>
        <w:numPr>
          <w:ilvl w:val="0"/>
          <w:numId w:val="2"/>
        </w:numPr>
        <w:spacing w:after="60" w:line="264"/>
      </w:pPr>
      <w:r>
        <w:rPr>
          <w:rFonts w:ascii="Aptos" w:cs="Aptos" w:eastAsia="Aptos" w:hAnsi="Aptos"/>
          <w:color w:val="1E2833"/>
          <w:sz w:val="20"/>
          <w:szCs w:val="20"/>
        </w:rPr>
        <w:t xml:space="preserve">The review is a conversation, not a test to pass. Nobody is refused enrolment because of their LLN; the review tells the Academy what support to give.</w:t>
      </w:r>
    </w:p>
    <w:p>
      <w:pPr>
        <w:pStyle w:val="ListParagraph"/>
        <w:numPr>
          <w:ilvl w:val="0"/>
          <w:numId w:val="2"/>
        </w:numPr>
        <w:spacing w:after="60" w:line="264"/>
      </w:pPr>
      <w:r>
        <w:rPr>
          <w:rFonts w:ascii="Aptos" w:cs="Aptos" w:eastAsia="Aptos" w:hAnsi="Aptos"/>
          <w:color w:val="1E2833"/>
          <w:sz w:val="20"/>
          <w:szCs w:val="20"/>
        </w:rPr>
        <w:t xml:space="preserve">Where the review suggests the program may not suit the applicant (for example a single unit would meet their needs better, or they already hold the units), the trainer explains the options and records the advice and the applicant's decision.</w:t>
      </w:r>
    </w:p>
    <w:p>
      <w:pPr>
        <w:pStyle w:val="ListParagraph"/>
        <w:numPr>
          <w:ilvl w:val="0"/>
          <w:numId w:val="2"/>
        </w:numPr>
        <w:spacing w:after="60" w:line="264"/>
      </w:pPr>
      <w:r>
        <w:rPr>
          <w:rFonts w:ascii="Aptos" w:cs="Aptos" w:eastAsia="Aptos" w:hAnsi="Aptos"/>
          <w:color w:val="1E2833"/>
          <w:sz w:val="20"/>
          <w:szCs w:val="20"/>
        </w:rPr>
        <w:t xml:space="preserve">Results go to Leanne Okafor, who writes any LLN support plan with the learner within 2 business days (SRA-RTO-006 section 4). A summary with indicative ACSF levels goes in the learner profile.</w:t>
      </w:r>
    </w:p>
    <w:p>
      <w:pPr>
        <w:pStyle w:val="ListParagraph"/>
        <w:numPr>
          <w:ilvl w:val="0"/>
          <w:numId w:val="2"/>
        </w:numPr>
        <w:spacing w:after="60" w:line="264"/>
      </w:pPr>
      <w:r>
        <w:rPr>
          <w:rFonts w:ascii="Aptos" w:cs="Aptos" w:eastAsia="Aptos" w:hAnsi="Aptos"/>
          <w:color w:val="1E2833"/>
          <w:sz w:val="20"/>
          <w:szCs w:val="20"/>
        </w:rPr>
        <w:t xml:space="preserve">RPL and credit transfer are offered at the review (SRA-RTO-005).</w:t>
      </w:r>
    </w:p>
    <w:p>
      <w:pPr>
        <w:pStyle w:val="ListParagraph"/>
        <w:numPr>
          <w:ilvl w:val="0"/>
          <w:numId w:val="2"/>
        </w:numPr>
        <w:spacing w:after="60" w:line="264"/>
      </w:pPr>
      <w:r>
        <w:rPr>
          <w:rFonts w:ascii="Aptos" w:cs="Aptos" w:eastAsia="Aptos" w:hAnsi="Aptos"/>
          <w:color w:val="1E2833"/>
          <w:sz w:val="20"/>
          <w:szCs w:val="20"/>
        </w:rPr>
        <w:t xml:space="preserve">Review results are confidential. Supervisors receive only the support actions they need to follow (SRA-RTO-006 section 12).</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Enrolment steps</w:t>
      </w:r>
    </w:p>
    <w:p>
      <w:pPr>
        <w:keepNext/>
        <w:spacing w:before="200" w:after="80"/>
      </w:pPr>
      <w:r>
        <w:rPr>
          <w:rFonts w:ascii="Aptos Display" w:cs="Aptos Display" w:eastAsia="Aptos Display" w:hAnsi="Aptos Display"/>
          <w:b/>
          <w:bCs/>
          <w:color w:val="4F7F80"/>
          <w:sz w:val="24"/>
          <w:szCs w:val="24"/>
        </w:rPr>
        <w:t xml:space="preserve">6.1 Warehouse Skills Program (TLI30325)</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00"/>
        <w:gridCol w:w="6600"/>
        <w:gridCol w:w="2352"/>
      </w:tblGrid>
      <w:tr>
        <w:trPr>
          <w:cantSplit/>
          <w:tblHeader/>
        </w:trPr>
        <w:tc>
          <w:tcPr>
            <w:tcW w:type="dxa" w:w="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Step</w:t>
            </w:r>
          </w:p>
        </w:tc>
        <w:tc>
          <w:tcPr>
            <w:tcW w:type="dxa" w:w="6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What happens</w:t>
            </w:r>
          </w:p>
        </w:tc>
        <w:tc>
          <w:tcPr>
            <w:tcW w:type="dxa" w:w="2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w:t>
            </w:r>
          </w:p>
        </w:tc>
        <w:tc>
          <w:tcPr>
            <w:tcW w:type="dxa" w:w="6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approves the intake (number of learners, roles, start date) and confirms funding and paid training time</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Lila Petrov; Gemma Whitfield</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w:t>
            </w:r>
          </w:p>
        </w:tc>
        <w:tc>
          <w:tcPr>
            <w:tcW w:type="dxa" w:w="6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HR confirms each learner's employment, role, shift and supervisor, and passes on any information the learner has agreed to share with the Academy (for example a disclosed disability)</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Anna Kowalski (HR Business Partner)</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3</w:t>
            </w:r>
          </w:p>
        </w:tc>
        <w:tc>
          <w:tcPr>
            <w:tcW w:type="dxa" w:w="6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learner completes the SteelRiver induction (SRL-CR-048)</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People and Culture; WHS Coordinator</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4</w:t>
            </w:r>
          </w:p>
        </w:tc>
        <w:tc>
          <w:tcPr>
            <w:tcW w:type="dxa" w:w="6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Information before enrolment is given (section 3) and the Part 1 suitability review is held (section 5)</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 trainer</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5</w:t>
            </w:r>
          </w:p>
        </w:tc>
        <w:tc>
          <w:tcPr>
            <w:tcW w:type="dxa" w:w="6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learner completes the enrolment form, including the USI, the privacy notice and consent to share information, and signs it (or agrees orally with an interpreter, recorded by Ivy Chua)</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 Ivy Chua</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6</w:t>
            </w:r>
          </w:p>
        </w:tc>
        <w:tc>
          <w:tcPr>
            <w:tcW w:type="dxa" w:w="6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USI is verified and the enrolment is entered in the SMS; credit transfer is checked</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7</w:t>
            </w:r>
          </w:p>
        </w:tc>
        <w:tc>
          <w:tcPr>
            <w:tcW w:type="dxa" w:w="6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Part 2 LLN and digital review is held and any LLN support plan or reasonable adjustment is agreed</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Leanne Okafor; trainers</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8</w:t>
            </w:r>
          </w:p>
        </w:tc>
        <w:tc>
          <w:tcPr>
            <w:tcW w:type="dxa" w:w="6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release roster for the learner's shift is agreed with Operations and the supervisor; paid training time is set up on the HR system</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Anna Kowalski; the Lead Trainer; the shift supervisor</w:t>
            </w:r>
          </w:p>
        </w:tc>
      </w:tr>
      <w:tr>
        <w:trPr>
          <w:cantSplit/>
        </w:trPr>
        <w:tc>
          <w:tcPr>
            <w:tcW w:type="dxa" w:w="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9</w:t>
            </w:r>
          </w:p>
        </w:tc>
        <w:tc>
          <w:tcPr>
            <w:tcW w:type="dxa" w:w="6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learner receives a written confirmation of enrolment, their training plan, the Learner Handbook and the one-page picture summary</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w:t>
            </w:r>
          </w:p>
        </w:tc>
      </w:tr>
      <w:tr>
        <w:trPr>
          <w:cantSplit/>
        </w:trPr>
        <w:tc>
          <w:tcPr>
            <w:tcW w:type="dxa" w:w="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6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enrolment checklist (Appendix B) is completed and filed in the SMS</w:t>
            </w:r>
          </w:p>
        </w:tc>
        <w:tc>
          <w:tcPr>
            <w:tcW w:type="dxa" w:w="23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Ivy Chua</w:t>
            </w:r>
          </w:p>
        </w:tc>
      </w:tr>
    </w:tbl>
    <w:p>
      <w:pPr>
        <w:keepNext/>
        <w:spacing w:before="200" w:after="80"/>
      </w:pPr>
      <w:r>
        <w:rPr>
          <w:rFonts w:ascii="Aptos Display" w:cs="Aptos Display" w:eastAsia="Aptos Display" w:hAnsi="Aptos Display"/>
          <w:b/>
          <w:bCs/>
          <w:color w:val="4F7F80"/>
          <w:sz w:val="24"/>
          <w:szCs w:val="24"/>
        </w:rPr>
        <w:t xml:space="preserve">6.2 Single units and RPL</w:t>
      </w:r>
    </w:p>
    <w:p>
      <w:pPr>
        <w:pStyle w:val="ListParagraph"/>
        <w:numPr>
          <w:ilvl w:val="0"/>
          <w:numId w:val="2"/>
        </w:numPr>
        <w:spacing w:after="60" w:line="264"/>
      </w:pPr>
      <w:r>
        <w:rPr>
          <w:rFonts w:ascii="Aptos" w:cs="Aptos" w:eastAsia="Aptos" w:hAnsi="Aptos"/>
          <w:color w:val="1E2833"/>
          <w:sz w:val="20"/>
          <w:szCs w:val="20"/>
        </w:rPr>
        <w:t xml:space="preserve">Single-unit learners (for example casuals taking TLID0020) follow the same steps. Their paid training hours and rostering are agreed with Anna Kowalski and their supervisor, and they receive a Statement of Attainment when they complete the unit.</w:t>
      </w:r>
    </w:p>
    <w:p>
      <w:pPr>
        <w:pStyle w:val="ListParagraph"/>
        <w:numPr>
          <w:ilvl w:val="0"/>
          <w:numId w:val="2"/>
        </w:numPr>
        <w:spacing w:after="60" w:line="264"/>
      </w:pPr>
      <w:r>
        <w:rPr>
          <w:rFonts w:ascii="Aptos" w:cs="Aptos" w:eastAsia="Aptos" w:hAnsi="Aptos"/>
          <w:color w:val="1E2833"/>
          <w:sz w:val="20"/>
          <w:szCs w:val="20"/>
        </w:rPr>
        <w:t xml:space="preserve">Existing workers who enrol with RPL follow the same steps; the RPL information meeting is arranged under SRA-RTO-005.</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Records and privacy</w:t>
      </w:r>
    </w:p>
    <w:p>
      <w:pPr>
        <w:pStyle w:val="ListParagraph"/>
        <w:numPr>
          <w:ilvl w:val="0"/>
          <w:numId w:val="2"/>
        </w:numPr>
        <w:spacing w:after="60" w:line="264"/>
      </w:pPr>
      <w:r>
        <w:rPr>
          <w:rFonts w:ascii="Aptos" w:cs="Aptos" w:eastAsia="Aptos" w:hAnsi="Aptos"/>
          <w:color w:val="1E2833"/>
          <w:sz w:val="20"/>
          <w:szCs w:val="20"/>
        </w:rPr>
        <w:t xml:space="preserve">The enrolment form, pre-training review form, LLN review notes, support plan, consent and enrolment checklist are stored in the learner's SMS file.</w:t>
      </w:r>
    </w:p>
    <w:p>
      <w:pPr>
        <w:pStyle w:val="ListParagraph"/>
        <w:numPr>
          <w:ilvl w:val="0"/>
          <w:numId w:val="2"/>
        </w:numPr>
        <w:spacing w:after="60" w:line="264"/>
      </w:pPr>
      <w:r>
        <w:rPr>
          <w:rFonts w:ascii="Aptos" w:cs="Aptos" w:eastAsia="Aptos" w:hAnsi="Aptos"/>
          <w:color w:val="1E2833"/>
          <w:sz w:val="20"/>
          <w:szCs w:val="20"/>
        </w:rPr>
        <w:t xml:space="preserve">Personal information is collected only for training, assessment, reporting and support, and handled under SRL-CR-018 Information Privacy and Confidentiality Policy and the Privacy Act 1988 (Compliance Standards s20). Lila Petrov is the Privacy Officer.</w:t>
      </w:r>
    </w:p>
    <w:p>
      <w:pPr>
        <w:pStyle w:val="ListParagraph"/>
        <w:numPr>
          <w:ilvl w:val="0"/>
          <w:numId w:val="2"/>
        </w:numPr>
        <w:spacing w:after="60" w:line="264"/>
      </w:pPr>
      <w:r>
        <w:rPr>
          <w:rFonts w:ascii="Aptos" w:cs="Aptos" w:eastAsia="Aptos" w:hAnsi="Aptos"/>
          <w:color w:val="1E2833"/>
          <w:sz w:val="20"/>
          <w:szCs w:val="20"/>
        </w:rPr>
        <w:t xml:space="preserve">Enrolment data is reported under the Data Provision Requirements (AVETMISS) by Rohan Desai.</w:t>
      </w:r>
    </w:p>
    <w:p>
      <w:pPr>
        <w:pStyle w:val="ListParagraph"/>
        <w:numPr>
          <w:ilvl w:val="0"/>
          <w:numId w:val="2"/>
        </w:numPr>
        <w:spacing w:after="60" w:line="264"/>
      </w:pPr>
      <w:r>
        <w:rPr>
          <w:rFonts w:ascii="Aptos" w:cs="Aptos" w:eastAsia="Aptos" w:hAnsi="Aptos"/>
          <w:color w:val="1E2833"/>
          <w:sz w:val="20"/>
          <w:szCs w:val="20"/>
        </w:rPr>
        <w:t xml:space="preserve">Completions are copied to the SteelRiver training register (SRL-CR-093).</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8. Roles and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 under this procedure</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Student Services and Records Officer (Ivy Chua)</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this procedure; information before enrolment; enrolment forms; USI; SMS records; credit transfer checks; confirmation of enrolment; checklist</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LLN lead (Leanne Okafor)</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Part 2 LLN and digital reviews; LLN support plans; reasonable adjustments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Trainers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Part 1 suitability reviews; help with Part 2; answer applicants' questions accurately</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HR Business Partner (Anna Kowalski)</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Employment details; consent to share information; paid training time; release roster; HR records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Lead Trainer and Assessor (Craig Moretti)</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Training plans; release roster with Operations and supervisors</w:t>
            </w:r>
          </w:p>
        </w:tc>
      </w:tr>
      <w:tr>
        <w:trPr>
          <w:cantSpli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Academy Manager (Gemma Whitfield)</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Approves intakes with People and Culture; approves this procedure</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9. Related documents and Standards</w:t>
      </w:r>
    </w:p>
    <w:p>
      <w:pPr>
        <w:pStyle w:val="ListParagraph"/>
        <w:numPr>
          <w:ilvl w:val="0"/>
          <w:numId w:val="2"/>
        </w:numPr>
        <w:spacing w:after="60" w:line="264"/>
      </w:pPr>
      <w:r>
        <w:rPr>
          <w:rFonts w:ascii="Aptos" w:cs="Aptos" w:eastAsia="Aptos" w:hAnsi="Aptos"/>
          <w:color w:val="1E2833"/>
          <w:sz w:val="20"/>
          <w:szCs w:val="20"/>
        </w:rPr>
        <w:t xml:space="preserve">SRA-RTO-005 Recognition of Prior Learning and Credit Transfer Policy and Procedure; SRA-RTO-006 Language, Literacy, Numeracy and Learner Support Policy</w:t>
      </w:r>
    </w:p>
    <w:p>
      <w:pPr>
        <w:pStyle w:val="ListParagraph"/>
        <w:numPr>
          <w:ilvl w:val="0"/>
          <w:numId w:val="2"/>
        </w:numPr>
        <w:spacing w:after="60" w:line="264"/>
      </w:pPr>
      <w:r>
        <w:rPr>
          <w:rFonts w:ascii="Aptos" w:cs="Aptos" w:eastAsia="Aptos" w:hAnsi="Aptos"/>
          <w:color w:val="1E2833"/>
          <w:sz w:val="20"/>
          <w:szCs w:val="20"/>
        </w:rPr>
        <w:t xml:space="preserve">SRA-RTO-008 Complaints and Appeals Policy and Procedure; SRA-RTO-010 Learner Handbook; SRA-RTO-011 Training and Assessment Strategy</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SRL-CR-048 Induction Procedure (employees, casuals, labour hire, contractors, visitors); SRL-CR-093 Training, Induction and HRWL Register Extract, Perth DC</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200"/>
        <w:gridCol w:w="3552"/>
      </w:tblGrid>
      <w:tr>
        <w:trPr>
          <w:cantSplit/>
          <w:tblHeader/>
        </w:trPr>
        <w:tc>
          <w:tcPr>
            <w:tcW w:type="dxa" w:w="6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Requirement</w:t>
            </w:r>
          </w:p>
        </w:tc>
        <w:tc>
          <w:tcPr>
            <w:tcW w:type="dxa" w:w="3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 this document meets it</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2.1: information before enrolment</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3</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Standard 2.2: pre-training review of skills, LLN and digital literacy, with advice on suitability</w:t>
            </w:r>
          </w:p>
        </w:tc>
        <w:tc>
          <w:tcPr>
            <w:tcW w:type="dxa" w:w="3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5; Appendix A</w:t>
            </w:r>
          </w:p>
        </w:tc>
      </w:tr>
      <w:tr>
        <w:trPr>
          <w:cantSplit/>
        </w:trPr>
        <w:tc>
          <w:tcPr>
            <w:tcW w:type="dxa" w:w="6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s12: USI verified and never on a certificate</w:t>
            </w:r>
          </w:p>
        </w:tc>
        <w:tc>
          <w:tcPr>
            <w:tcW w:type="dxa" w:w="3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4</w:t>
            </w:r>
          </w:p>
        </w:tc>
      </w:tr>
      <w:tr>
        <w:trPr>
          <w:cantSplit/>
        </w:trPr>
        <w:tc>
          <w:tcPr>
            <w:tcW w:type="dxa" w:w="6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Compliance Standards s7 and s20: accurate information; privacy</w:t>
            </w:r>
          </w:p>
        </w:tc>
        <w:tc>
          <w:tcPr>
            <w:tcW w:type="dxa" w:w="3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Sections 3 and 7</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Appendix A. Pre-training review form</w:t>
      </w:r>
    </w:p>
    <w:p>
      <w:pPr>
        <w:spacing w:before="0" w:after="120" w:line="276"/>
      </w:pPr>
      <w:r>
        <w:rPr>
          <w:rFonts w:ascii="Aptos" w:cs="Aptos" w:eastAsia="Aptos" w:hAnsi="Aptos"/>
          <w:color w:val="1E2833"/>
          <w:sz w:val="18"/>
          <w:szCs w:val="18"/>
        </w:rPr>
        <w:t xml:space="preserve">Complete Part 1 before the enrolment is confirmed and Part 2 in the induction week. Use an interpreter where needed. Keep the completed form in the learner's SMS file.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1</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LEARNER AND PROGRAM</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 name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and shift</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Workplace supervisor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Program (TLI30325 or single unit)</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Language(s) spoken; interpreter needed? (language)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Review date(s) and reviewer(s)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2</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PART 1: WORK HISTORY, PRIOR LEARNING AND GOALS</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6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Work history (roles, years, type of warehouse work)</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Nationally recognised units or qualifications held (code, title, RTO, year)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Other courses and certificates (provider, year)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What the learner wants from the program</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RPL or credit transfer offered? Learner's choice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3</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PART 1: LEARNING, SUPPORT AND ADJUSTMENT</w:t>
            </w:r>
          </w:p>
        </w:tc>
      </w:tr>
    </w:tbl>
    <w:p>
      <w:pPr>
        <w:spacing w:before="80" w:after="120" w:line="276"/>
      </w:pPr>
      <w:r>
        <w:rPr>
          <w:rFonts w:ascii="Aptos" w:cs="Aptos" w:eastAsia="Aptos" w:hAnsi="Aptos"/>
          <w:color w:val="1E2833"/>
          <w:sz w:val="18"/>
          <w:szCs w:val="18"/>
        </w:rPr>
        <w:t xml:space="preserve">How does the learner like to learn? (tick)</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0"/>
        <w:gridCol w:w="3250"/>
        <w:gridCol w:w="3250"/>
      </w:tblGrid>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Being shown</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Trying it myself</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Pictures</w:t>
            </w:r>
          </w:p>
        </w:tc>
      </w:tr>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Reading</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Talking it through</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Videos</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6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Self-reported reading, writing and numbers ("easy", "OK", "hard"), in the learner's words</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 the learner asks for</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Disability disclosed and adjustment requested (only if the learner chooses to share)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6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Anything that may affect attendance (shift, travel, family, other work)</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4</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PART 2: LLN AND DIGITAL REVIEW</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300"/>
        <w:gridCol w:w="1600"/>
        <w:gridCol w:w="2452"/>
      </w:tblGrid>
      <w:tr>
        <w:trPr>
          <w:cantSplit/>
          <w:tblHeader/>
        </w:trPr>
        <w:tc>
          <w:tcPr>
            <w:tcW w:type="dxa" w:w="2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Core skill</w:t>
            </w:r>
          </w:p>
        </w:tc>
        <w:tc>
          <w:tcPr>
            <w:tcW w:type="dxa" w:w="3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Task used (SteelRiver document or task)</w:t>
            </w:r>
          </w:p>
        </w:tc>
        <w:tc>
          <w:tcPr>
            <w:tcW w:type="dxa" w:w="1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Indicative ACSF level</w:t>
            </w:r>
          </w:p>
        </w:tc>
        <w:tc>
          <w:tcPr>
            <w:tcW w:type="dxa" w:w="2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Notes</w:t>
            </w:r>
          </w:p>
        </w:tc>
      </w:tr>
      <w:tr>
        <w:trPr>
          <w:cantSplit/>
          <w:trHeight w:val="520" w:hRule="atLeas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Learning</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Reading</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Writing</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Oral communication</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Numeracy</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20" w:hRule="atLeast"/>
        </w:trPr>
        <w:tc>
          <w:tcPr>
            <w:tcW w:type="dxa" w:w="2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Digital skills (RF scanner, Academy site, phone)</w:t>
            </w:r>
          </w:p>
        </w:tc>
        <w:tc>
          <w:tcPr>
            <w:tcW w:type="dxa" w:w="3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9052"/>
      </w:tblGrid>
      <w:tr>
        <w:trPr>
          <w:cantSplit/>
        </w:trPr>
        <w:tc>
          <w:tcPr>
            <w:tcW w:type="dxa" w:w="700"/>
            <w:tcBorders>
              <w:top w:val="none" w:color="FFFFFF" w:sz="0"/>
              <w:left w:val="none" w:color="FFFFFF" w:sz="0"/>
              <w:bottom w:val="none" w:color="FFFFFF" w:sz="0"/>
              <w:right w:val="none" w:color="FFFFFF" w:sz="0"/>
            </w:tcBorders>
            <w:shd w:fill="C8742A" w:color="auto" w:val="clear"/>
            <w:tcMar>
              <w:top w:type="dxa" w:w="70"/>
              <w:left w:type="dxa" w:w="120"/>
              <w:bottom w:type="dxa" w:w="70"/>
              <w:right w:type="dxa" w:w="120"/>
            </w:tcMar>
            <w:vAlign w:val="center"/>
          </w:tcPr>
          <w:p>
            <w:pPr>
              <w:spacing w:after="30" w:line="252"/>
              <w:jc w:val="center"/>
            </w:pPr>
            <w:r>
              <w:rPr>
                <w:rFonts w:ascii="Aptos" w:cs="Aptos" w:eastAsia="Aptos" w:hAnsi="Aptos"/>
                <w:b/>
                <w:bCs/>
                <w:color w:val="0E4D4F"/>
                <w:sz w:val="22"/>
                <w:szCs w:val="22"/>
              </w:rPr>
              <w:t xml:space="preserve">5</w:t>
            </w:r>
          </w:p>
        </w:tc>
        <w:tc>
          <w:tcPr>
            <w:tcW w:type="dxa" w:w="9052"/>
            <w:tcBorders>
              <w:top w:val="none" w:color="FFFFFF" w:sz="0"/>
              <w:left w:val="none" w:color="FFFFFF" w:sz="0"/>
              <w:bottom w:val="none" w:color="FFFFFF" w:sz="0"/>
              <w:right w:val="none" w:color="FFFFFF" w:sz="0"/>
            </w:tcBorders>
            <w:shd w:fill="0E4D4F" w:color="auto" w:val="clear"/>
            <w:tcMar>
              <w:top w:type="dxa" w:w="70"/>
              <w:left w:type="dxa" w:w="120"/>
              <w:bottom w:type="dxa" w:w="70"/>
              <w:right w:type="dxa" w:w="120"/>
            </w:tcMar>
            <w:vAlign w:val="center"/>
          </w:tcPr>
          <w:p>
            <w:pPr>
              <w:spacing w:after="30" w:line="252"/>
            </w:pPr>
            <w:r>
              <w:rPr>
                <w:rFonts w:ascii="Aptos" w:cs="Aptos" w:eastAsia="Aptos" w:hAnsi="Aptos"/>
                <w:b/>
                <w:bCs/>
                <w:color w:val="FFFFFF"/>
                <w:spacing w:val="20"/>
                <w:sz w:val="20"/>
                <w:szCs w:val="20"/>
              </w:rPr>
              <w:t xml:space="preserve">ADVICE ON SUITABILITY AND SUPPORT</w:t>
            </w:r>
          </w:p>
        </w:tc>
      </w:tr>
    </w:tbl>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0"/>
        <w:gridCol w:w="3250"/>
        <w:gridCol w:w="3250"/>
      </w:tblGrid>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Program suits the learner</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Another option discussed (record below)</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LLN support plan needed</w:t>
            </w:r>
          </w:p>
        </w:tc>
      </w:tr>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Reasonable adjustment to agree</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Interpreter for sessions</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Picture-supported resources</w:t>
            </w:r>
          </w:p>
        </w:tc>
      </w:tr>
      <w:tr>
        <w:trPr>
          <w:cantSplit/>
        </w:trPr>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Buddy or peer language support</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RPL or credit transfer to follow up</w:t>
            </w:r>
          </w:p>
        </w:tc>
        <w:tc>
          <w:tcPr>
            <w:tcW w:type="dxa" w:w="325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  Referral (wellbeing or EAP)</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90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Advice given and the learner's decision</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12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700"/>
        <w:gridCol w:w="2600"/>
        <w:gridCol w:w="14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2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Name</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Signature</w:t>
            </w:r>
          </w:p>
        </w:tc>
        <w:tc>
          <w:tcPr>
            <w:tcW w:type="dxa" w:w="1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Learner (or spoken agreement recorded)</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Reviewer</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560" w:hRule="atLeas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LLN lead (Part 2)</w:t>
            </w:r>
          </w:p>
        </w:tc>
        <w:tc>
          <w:tcPr>
            <w:tcW w:type="dxa" w:w="2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c>
          <w:tcPr>
            <w:tcW w:type="dxa" w:w="1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Appendix B. Enrolment checklist</w:t>
      </w:r>
    </w:p>
    <w:p>
      <w:pPr>
        <w:spacing w:before="0" w:after="120" w:line="276"/>
      </w:pPr>
      <w:r>
        <w:rPr>
          <w:rFonts w:ascii="Aptos" w:cs="Aptos" w:eastAsia="Aptos" w:hAnsi="Aptos"/>
          <w:color w:val="1E2833"/>
          <w:sz w:val="18"/>
          <w:szCs w:val="18"/>
        </w:rPr>
        <w:t xml:space="preserve">Ivy Chua completes one checklist for each learner and files it in the SMS.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Learner name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Program and intake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60" w:hRule="atLeast"/>
        </w:trPr>
        <w:tc>
          <w:tcPr>
            <w:tcW w:type="dxa" w:w="32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Enrolment date</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400"/>
        <w:gridCol w:w="2352"/>
      </w:tblGrid>
      <w:tr>
        <w:trPr>
          <w:cantSplit/>
          <w:tblHeader/>
        </w:trPr>
        <w:tc>
          <w:tcPr>
            <w:tcW w:type="dxa" w:w="74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Item</w:t>
            </w:r>
          </w:p>
        </w:tc>
        <w:tc>
          <w:tcPr>
            <w:tcW w:type="dxa" w:w="23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Done (date and initials)</w:t>
            </w: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SteelRiver induction completed (SRL-CR-048)</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Enrolment approved by SteelRiver; employment, role, shift and supervisor confirmed by HR</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Information before enrolment given: Learner Handbook and picture summary, product code and title, assessment, support, no fees, complaints and appeals, privacy</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1 suitability review completed and advice recorded</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Enrolment form signed (or spoken agreement recorded with an interpreter)</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Privacy notice explained; consent to share information recorded</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USI collected and verified (not printed anywhere else)</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USI transcript checked with permission; credit transfer identified</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RPL offered; learner's choice recorded</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Part 2 LLN and digital review completed</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LLN support plan or reasonable adjustment agreed (if needed)</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Release roster and paid training time set up with HR and the supervisor</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r>
        <w:trPr>
          <w:cantSplit/>
          <w:trHeight w:val="420" w:hRule="atLeast"/>
        </w:trPr>
        <w:tc>
          <w:tcPr>
            <w:tcW w:type="dxa" w:w="74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Enrolment entered in the SMS; confirmation and training plan sent to the learner</w:t>
            </w:r>
          </w:p>
        </w:tc>
        <w:tc>
          <w:tcPr>
            <w:tcW w:type="dxa" w:w="23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January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Reissued for the Registration Standards 2025 (Standards 2.1 and 2.2; Compliance Standards s12). Pre-training review set out in two parts with a short ACSF-referenced LLN and digital review; enrolment steps with HR; enrolment checklist added.</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r>
        <w:trPr>
          <w:cantSplit/>
        </w:trPr>
        <w:tc>
          <w:tcPr>
            <w:tcW w:type="dxa" w:w="11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March 2022</w:t>
            </w:r>
          </w:p>
        </w:tc>
        <w:tc>
          <w:tcPr>
            <w:tcW w:type="dxa" w:w="4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on initial registration.</w:t>
            </w:r>
          </w:p>
        </w:tc>
        <w:tc>
          <w:tcPr>
            <w:tcW w:type="dxa" w:w="2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Gemma Whitfield</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SRA-RTO-007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SRA-RTO-007 Version 2.0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SRA-RTO-007  ·  Enrolment and Pre-training Review Procedure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SRA-RTO-007 Enrolment and Pre-training Review Procedure</dc:title>
  <dc:creator>SteelRiver Logistics Pty Ltd trading as SteelRiver Academy</dc:creator>
  <cp:lastModifiedBy>Un-named</cp:lastModifiedBy>
  <cp:revision>1</cp:revision>
  <dcterms:created xsi:type="dcterms:W3CDTF">2026-11-01T14:49:45.765Z</dcterms:created>
  <dcterms:modified xsi:type="dcterms:W3CDTF">2026-11-01T14:49:45.765Z</dcterms:modified>
</cp:coreProperties>
</file>

<file path=docProps/custom.xml><?xml version="1.0" encoding="utf-8"?>
<Properties xmlns="http://schemas.openxmlformats.org/officeDocument/2006/custom-properties" xmlns:vt="http://schemas.openxmlformats.org/officeDocument/2006/docPropsVTypes"/>
</file>