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SRA-RTO-008</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Complaints and Appeals Policy and Procedure</w:t>
      </w:r>
    </w:p>
    <w:p>
      <w:pPr>
        <w:spacing w:before="0" w:after="160" w:line="276"/>
      </w:pPr>
      <w:r>
        <w:rPr>
          <w:rFonts w:ascii="Aptos" w:cs="Aptos" w:eastAsia="Aptos" w:hAnsi="Aptos"/>
          <w:color w:val="4F7F80"/>
          <w:sz w:val="24"/>
          <w:szCs w:val="24"/>
        </w:rPr>
        <w:t xml:space="preserve">How anyone can raise a complaint or appeal a decision, and how SteelRiver Academy handles it fairly and learns from it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SRA-RTO-008</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Learners, applicants, former learners, supervisors and anyone affected by the Academy's services; all Academy staff</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SteelRiver Academy (the Academy) wants to know when something has gone wrong, so it can put it right and stop it happening again. This policy and procedure sets out how anyone can make a complaint about the Academy or appeal a decision the Academy has made, and how the Academy handles complaints and appeals fairly, quickly and at no cost (Standards 2.7 and 2.8 of the Standards for RTOs 2025).</w:t>
      </w:r>
    </w:p>
    <w:p>
      <w:pPr>
        <w:spacing w:before="0" w:after="120" w:line="276"/>
      </w:pPr>
      <w:r>
        <w:rPr>
          <w:rFonts w:ascii="Aptos" w:cs="Aptos" w:eastAsia="Aptos" w:hAnsi="Aptos"/>
          <w:color w:val="1E2833"/>
          <w:sz w:val="20"/>
          <w:szCs w:val="20"/>
        </w:rPr>
        <w:t xml:space="preserve">It applies to complaints about the Academy, its staff, its training and assessment, its learner support, its records or anyone acting for it, and to appeals against any Academy decision. A concern about a person's employment with SteelRiver (rather than their training) is handled under SRL-CR-040 Grievance Procedure; if it is unclear which applies, the Academy accepts it and helps the person.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9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Complaint</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expression of dissatisfaction with the Academy's services, staff, decisions or conduct, made in any form, that the person wants addressed.</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Appeal</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request to review a decision the Academy has made, for example an assessment decision, an RPL or credit transfer decision, or a decision about enrolment, an adjustment or a certificate.</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Complainant or appellant</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person who makes the complaint or appeal.</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Independent review</w:t>
            </w:r>
          </w:p>
        </w:tc>
        <w:tc>
          <w:tcPr>
            <w:tcW w:type="dxa" w:w="69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review of the Academy's final internal decision by a person who is independent of the Academy (section 8).</w:t>
            </w:r>
          </w:p>
        </w:tc>
      </w:tr>
      <w:tr>
        <w:trPr>
          <w:cantSplit/>
        </w:trPr>
        <w:tc>
          <w:tcPr>
            <w:tcW w:type="dxa" w:w="28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Business day</w:t>
            </w:r>
          </w:p>
        </w:tc>
        <w:tc>
          <w:tcPr>
            <w:tcW w:type="dxa" w:w="69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weekday that is not a public holiday in Western Australia.</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Principles</w:t>
      </w:r>
    </w:p>
    <w:p>
      <w:pPr>
        <w:pStyle w:val="ListParagraph"/>
        <w:numPr>
          <w:ilvl w:val="0"/>
          <w:numId w:val="2"/>
        </w:numPr>
        <w:spacing w:after="60" w:line="264"/>
      </w:pPr>
      <w:r>
        <w:rPr>
          <w:rFonts w:ascii="Aptos" w:cs="Aptos" w:eastAsia="Aptos" w:hAnsi="Aptos"/>
          <w:b/>
          <w:bCs/>
          <w:color w:val="1E2833"/>
          <w:sz w:val="20"/>
          <w:szCs w:val="20"/>
        </w:rPr>
        <w:t xml:space="preserve">Free and accessible.</w:t>
      </w:r>
      <w:r>
        <w:rPr>
          <w:rFonts w:ascii="Aptos" w:cs="Aptos" w:eastAsia="Aptos" w:hAnsi="Aptos"/>
          <w:color w:val="1E2833"/>
          <w:sz w:val="20"/>
          <w:szCs w:val="20"/>
        </w:rPr>
        <w:t xml:space="preserve"> Making a complaint or appeal costs nothing. People can complain in their own words and language, verbally or in writing, with an interpreter or a support person.</w:t>
      </w:r>
    </w:p>
    <w:p>
      <w:pPr>
        <w:pStyle w:val="ListParagraph"/>
        <w:numPr>
          <w:ilvl w:val="0"/>
          <w:numId w:val="2"/>
        </w:numPr>
        <w:spacing w:after="60" w:line="264"/>
      </w:pPr>
      <w:r>
        <w:rPr>
          <w:rFonts w:ascii="Aptos" w:cs="Aptos" w:eastAsia="Aptos" w:hAnsi="Aptos"/>
          <w:b/>
          <w:bCs/>
          <w:color w:val="1E2833"/>
          <w:sz w:val="20"/>
          <w:szCs w:val="20"/>
        </w:rPr>
        <w:t xml:space="preserve">Procedural fairness.</w:t>
      </w:r>
      <w:r>
        <w:rPr>
          <w:rFonts w:ascii="Aptos" w:cs="Aptos" w:eastAsia="Aptos" w:hAnsi="Aptos"/>
          <w:color w:val="1E2833"/>
          <w:sz w:val="20"/>
          <w:szCs w:val="20"/>
        </w:rPr>
        <w:t xml:space="preserve"> Each person involved is told what the complaint or appeal is about and has a chance to respond. Decisions are based on evidence. The person who decides has no conflict of interest and was not involved in the matter.</w:t>
      </w:r>
    </w:p>
    <w:p>
      <w:pPr>
        <w:pStyle w:val="ListParagraph"/>
        <w:numPr>
          <w:ilvl w:val="0"/>
          <w:numId w:val="2"/>
        </w:numPr>
        <w:spacing w:after="60" w:line="264"/>
      </w:pPr>
      <w:r>
        <w:rPr>
          <w:rFonts w:ascii="Aptos" w:cs="Aptos" w:eastAsia="Aptos" w:hAnsi="Aptos"/>
          <w:b/>
          <w:bCs/>
          <w:color w:val="1E2833"/>
          <w:sz w:val="20"/>
          <w:szCs w:val="20"/>
        </w:rPr>
        <w:t xml:space="preserve">No victimisation.</w:t>
      </w:r>
      <w:r>
        <w:rPr>
          <w:rFonts w:ascii="Aptos" w:cs="Aptos" w:eastAsia="Aptos" w:hAnsi="Aptos"/>
          <w:color w:val="1E2833"/>
          <w:sz w:val="20"/>
          <w:szCs w:val="20"/>
        </w:rPr>
        <w:t xml:space="preserve"> Nobody is treated unfairly for making a complaint or appeal, or for helping someone else do so. Victimisation is a breach of SRL-CR-020 Code of Conduct.</w:t>
      </w:r>
    </w:p>
    <w:p>
      <w:pPr>
        <w:pStyle w:val="ListParagraph"/>
        <w:numPr>
          <w:ilvl w:val="0"/>
          <w:numId w:val="2"/>
        </w:numPr>
        <w:spacing w:after="60" w:line="264"/>
      </w:pPr>
      <w:r>
        <w:rPr>
          <w:rFonts w:ascii="Aptos" w:cs="Aptos" w:eastAsia="Aptos" w:hAnsi="Aptos"/>
          <w:b/>
          <w:bCs/>
          <w:color w:val="1E2833"/>
          <w:sz w:val="20"/>
          <w:szCs w:val="20"/>
        </w:rPr>
        <w:t xml:space="preserve">Confidentiality.</w:t>
      </w:r>
      <w:r>
        <w:rPr>
          <w:rFonts w:ascii="Aptos" w:cs="Aptos" w:eastAsia="Aptos" w:hAnsi="Aptos"/>
          <w:color w:val="1E2833"/>
          <w:sz w:val="20"/>
          <w:szCs w:val="20"/>
        </w:rPr>
        <w:t xml:space="preserve"> Information is shared only with the people who need it to resolve the matter.</w:t>
      </w:r>
    </w:p>
    <w:p>
      <w:pPr>
        <w:pStyle w:val="ListParagraph"/>
        <w:numPr>
          <w:ilvl w:val="0"/>
          <w:numId w:val="2"/>
        </w:numPr>
        <w:spacing w:after="60" w:line="264"/>
      </w:pPr>
      <w:r>
        <w:rPr>
          <w:rFonts w:ascii="Aptos" w:cs="Aptos" w:eastAsia="Aptos" w:hAnsi="Aptos"/>
          <w:b/>
          <w:bCs/>
          <w:color w:val="1E2833"/>
          <w:sz w:val="20"/>
          <w:szCs w:val="20"/>
        </w:rPr>
        <w:t xml:space="preserve">Timely.</w:t>
      </w:r>
      <w:r>
        <w:rPr>
          <w:rFonts w:ascii="Aptos" w:cs="Aptos" w:eastAsia="Aptos" w:hAnsi="Aptos"/>
          <w:color w:val="1E2833"/>
          <w:sz w:val="20"/>
          <w:szCs w:val="20"/>
        </w:rPr>
        <w:t xml:space="preserve"> The Academy meets the timeframes in this policy and tells people if it cannot, and why.</w:t>
      </w:r>
    </w:p>
    <w:p>
      <w:pPr>
        <w:pStyle w:val="ListParagraph"/>
        <w:numPr>
          <w:ilvl w:val="0"/>
          <w:numId w:val="2"/>
        </w:numPr>
        <w:spacing w:after="60" w:line="264"/>
      </w:pPr>
      <w:r>
        <w:rPr>
          <w:rFonts w:ascii="Aptos" w:cs="Aptos" w:eastAsia="Aptos" w:hAnsi="Aptos"/>
          <w:b/>
          <w:bCs/>
          <w:color w:val="1E2833"/>
          <w:sz w:val="20"/>
          <w:szCs w:val="20"/>
        </w:rPr>
        <w:t xml:space="preserve">Learning.</w:t>
      </w:r>
      <w:r>
        <w:rPr>
          <w:rFonts w:ascii="Aptos" w:cs="Aptos" w:eastAsia="Aptos" w:hAnsi="Aptos"/>
          <w:color w:val="1E2833"/>
          <w:sz w:val="20"/>
          <w:szCs w:val="20"/>
        </w:rPr>
        <w:t xml:space="preserve"> Every complaint and appeal is a chance to improve, and is reported to the Quality Committee.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Who can complain or appeal</w:t>
      </w:r>
    </w:p>
    <w:p>
      <w:pPr>
        <w:spacing w:before="0" w:after="120" w:line="276"/>
      </w:pPr>
      <w:r>
        <w:rPr>
          <w:rFonts w:ascii="Aptos" w:cs="Aptos" w:eastAsia="Aptos" w:hAnsi="Aptos"/>
          <w:color w:val="1E2833"/>
          <w:sz w:val="20"/>
          <w:szCs w:val="20"/>
        </w:rPr>
        <w:t xml:space="preserve">Anyone affected by the Academy's services can complain: learners, applicants, former learners, RPL candidates, supervisors, other SteelRiver workers and members of the public. Any learner or applicant can appeal a decision that affects them. A person may also complain on behalf of a learner, with the learner's agreement.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How to make a complaint or appeal</w:t>
      </w:r>
    </w:p>
    <w:p>
      <w:pPr>
        <w:pStyle w:val="ListParagraph"/>
        <w:numPr>
          <w:ilvl w:val="0"/>
          <w:numId w:val="2"/>
        </w:numPr>
        <w:spacing w:after="60" w:line="264"/>
      </w:pPr>
      <w:r>
        <w:rPr>
          <w:rFonts w:ascii="Aptos" w:cs="Aptos" w:eastAsia="Aptos" w:hAnsi="Aptos"/>
          <w:color w:val="1E2833"/>
          <w:sz w:val="20"/>
          <w:szCs w:val="20"/>
        </w:rPr>
        <w:t xml:space="preserve">Tell any trainer, assessor or Academy staff member, in person or by phone, in your own words.</w:t>
      </w:r>
    </w:p>
    <w:p>
      <w:pPr>
        <w:pStyle w:val="ListParagraph"/>
        <w:numPr>
          <w:ilvl w:val="0"/>
          <w:numId w:val="2"/>
        </w:numPr>
        <w:spacing w:after="60" w:line="264"/>
      </w:pPr>
      <w:r>
        <w:rPr>
          <w:rFonts w:ascii="Aptos" w:cs="Aptos" w:eastAsia="Aptos" w:hAnsi="Aptos"/>
          <w:color w:val="1E2833"/>
          <w:sz w:val="20"/>
          <w:szCs w:val="20"/>
        </w:rPr>
        <w:t xml:space="preserve">Email any Academy staff member, or Rohan Desai, Quality and Compliance Coordinator.</w:t>
      </w:r>
    </w:p>
    <w:p>
      <w:pPr>
        <w:pStyle w:val="ListParagraph"/>
        <w:numPr>
          <w:ilvl w:val="0"/>
          <w:numId w:val="2"/>
        </w:numPr>
        <w:spacing w:after="60" w:line="264"/>
      </w:pPr>
      <w:r>
        <w:rPr>
          <w:rFonts w:ascii="Aptos" w:cs="Aptos" w:eastAsia="Aptos" w:hAnsi="Aptos"/>
          <w:color w:val="1E2833"/>
          <w:sz w:val="20"/>
          <w:szCs w:val="20"/>
        </w:rPr>
        <w:t xml:space="preserve">Complete the complaint and appeal form (Appendix A), available in Training Room 1, from Student Services and on the Academy site, and give it to any Academy staff member.</w:t>
      </w:r>
    </w:p>
    <w:p>
      <w:pPr>
        <w:pStyle w:val="ListParagraph"/>
        <w:numPr>
          <w:ilvl w:val="0"/>
          <w:numId w:val="2"/>
        </w:numPr>
        <w:spacing w:after="60" w:line="264"/>
      </w:pPr>
      <w:r>
        <w:rPr>
          <w:rFonts w:ascii="Aptos" w:cs="Aptos" w:eastAsia="Aptos" w:hAnsi="Aptos"/>
          <w:color w:val="1E2833"/>
          <w:sz w:val="20"/>
          <w:szCs w:val="20"/>
        </w:rPr>
        <w:t xml:space="preserve">Make the complaint or appeal within 30 days of the event or of being told the decision. The Academy will still consider a later complaint if there is a good reason for the delay.</w:t>
      </w:r>
    </w:p>
    <w:p>
      <w:pPr>
        <w:pStyle w:val="ListParagraph"/>
        <w:numPr>
          <w:ilvl w:val="0"/>
          <w:numId w:val="2"/>
        </w:numPr>
        <w:spacing w:after="60" w:line="264"/>
      </w:pPr>
      <w:r>
        <w:rPr>
          <w:rFonts w:ascii="Aptos" w:cs="Aptos" w:eastAsia="Aptos" w:hAnsi="Aptos"/>
          <w:color w:val="1E2833"/>
          <w:sz w:val="20"/>
          <w:szCs w:val="20"/>
        </w:rPr>
        <w:t xml:space="preserve">Ask for help: Student Services or any trainer will help fill in the form, and the Academy books a certified interpreter through People and Culture at no cost.</w:t>
      </w:r>
    </w:p>
    <w:p>
      <w:pPr>
        <w:keepNext/>
        <w:spacing w:before="200" w:after="80"/>
      </w:pPr>
      <w:r>
        <w:rPr>
          <w:rFonts w:ascii="Aptos Display" w:cs="Aptos Display" w:eastAsia="Aptos Display" w:hAnsi="Aptos Display"/>
          <w:b/>
          <w:bCs/>
          <w:color w:val="4F7F80"/>
          <w:sz w:val="24"/>
          <w:szCs w:val="24"/>
        </w:rPr>
        <w:t xml:space="preserve">5.1 What staff do when they receive a complaint or appeal</w:t>
      </w:r>
    </w:p>
    <w:p>
      <w:pPr>
        <w:pStyle w:val="ListParagraph"/>
        <w:numPr>
          <w:ilvl w:val="0"/>
          <w:numId w:val="3"/>
        </w:numPr>
        <w:spacing w:after="60" w:line="264"/>
      </w:pPr>
      <w:r>
        <w:rPr>
          <w:rFonts w:ascii="Aptos" w:cs="Aptos" w:eastAsia="Aptos" w:hAnsi="Aptos"/>
          <w:color w:val="1E2833"/>
          <w:sz w:val="20"/>
          <w:szCs w:val="20"/>
        </w:rPr>
        <w:t xml:space="preserve">Listen, thank the person and explain the process and timeframes. Do not argue, judge or promise an outcome.</w:t>
      </w:r>
    </w:p>
    <w:p>
      <w:pPr>
        <w:pStyle w:val="ListParagraph"/>
        <w:numPr>
          <w:ilvl w:val="0"/>
          <w:numId w:val="3"/>
        </w:numPr>
        <w:spacing w:after="60" w:line="264"/>
      </w:pPr>
      <w:r>
        <w:rPr>
          <w:rFonts w:ascii="Aptos" w:cs="Aptos" w:eastAsia="Aptos" w:hAnsi="Aptos"/>
          <w:color w:val="1E2833"/>
          <w:sz w:val="20"/>
          <w:szCs w:val="20"/>
        </w:rPr>
        <w:t xml:space="preserve">Write down what the person wants addressed, in their words, with the date. A verbal complaint is still a complaint.</w:t>
      </w:r>
    </w:p>
    <w:p>
      <w:pPr>
        <w:pStyle w:val="ListParagraph"/>
        <w:numPr>
          <w:ilvl w:val="0"/>
          <w:numId w:val="3"/>
        </w:numPr>
        <w:spacing w:after="60" w:line="264"/>
      </w:pPr>
      <w:r>
        <w:rPr>
          <w:rFonts w:ascii="Aptos" w:cs="Aptos" w:eastAsia="Aptos" w:hAnsi="Aptos"/>
          <w:color w:val="1E2833"/>
          <w:sz w:val="20"/>
          <w:szCs w:val="20"/>
        </w:rPr>
        <w:t xml:space="preserve">Pass it to Rohan Desai the same day (or the next business day if received on an overnight or weekend shift).</w:t>
      </w:r>
    </w:p>
    <w:p>
      <w:pPr>
        <w:pStyle w:val="ListParagraph"/>
        <w:numPr>
          <w:ilvl w:val="0"/>
          <w:numId w:val="3"/>
        </w:numPr>
        <w:spacing w:after="60" w:line="264"/>
      </w:pPr>
      <w:r>
        <w:rPr>
          <w:rFonts w:ascii="Aptos" w:cs="Aptos" w:eastAsia="Aptos" w:hAnsi="Aptos"/>
          <w:color w:val="1E2833"/>
          <w:sz w:val="20"/>
          <w:szCs w:val="20"/>
        </w:rPr>
        <w:t xml:space="preserve">Tell the person they will hear from the Academy within 2 business days, and that TAC is an external option.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Complaint procedure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0"/>
        <w:gridCol w:w="4800"/>
        <w:gridCol w:w="1700"/>
        <w:gridCol w:w="1652"/>
      </w:tblGrid>
      <w:tr>
        <w:trPr>
          <w:cantSplit/>
          <w:tblHeader/>
        </w:trPr>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16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Timeframe</w:t>
            </w:r>
          </w:p>
        </w:tc>
      </w:tr>
      <w:tr>
        <w:trPr>
          <w:cantSpli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Register</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complaint is entered on the complaints and appeals register with a reference number (C-year-number, for example C-2026-01)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day it is received</w:t>
            </w:r>
          </w:p>
        </w:tc>
      </w:tr>
      <w:tr>
        <w:trPr>
          <w:cantSplit/>
        </w:trPr>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Acknowledge</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complainant receives a written acknowledgement (or verbal, with an interpreter, recorded) with the reference number, the process and who will handle it</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2 business days of receipt</w:t>
            </w:r>
          </w:p>
        </w:tc>
      </w:tr>
      <w:tr>
        <w:trPr>
          <w:cantSpli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Investigate</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investigator with no involvement in the matter is appointed (usually Rohan Desai, or Gemma Whitfield if the complaint is about Rohan). Each person involved is told what it is about and gives their account; records are checked</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Investigator</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the decision timeframe</w:t>
            </w:r>
          </w:p>
        </w:tc>
      </w:tr>
      <w:tr>
        <w:trPr>
          <w:cantSplit/>
        </w:trPr>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Decide</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investigator recommends an outcome with reasons; Gemma Whitfield decides. If the complaint is about Gemma Whitfield, Lila Petrov decides</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Within 15 business days of receipt</w:t>
            </w:r>
          </w:p>
        </w:tc>
      </w:tr>
      <w:tr>
        <w:trPr>
          <w:cantSplit/>
        </w:trPr>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Tell all parties</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outcome, the reasons and any action are documented and sent to the complainant and to each person the complaint was about, with the options for review (sections 8 and 9)</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16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 the decision</w:t>
            </w:r>
          </w:p>
        </w:tc>
      </w:tr>
      <w:tr>
        <w:trPr>
          <w:cantSplit/>
        </w:trPr>
        <w:tc>
          <w:tcPr>
            <w:tcW w:type="dxa" w:w="1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Act and improve</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Agreed actions are completed; any improvement is entered on the continuous improvement register (SRA-RTO-002) and reported to the Quality Committee</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Owners; Rohan Desai</w:t>
            </w:r>
          </w:p>
        </w:tc>
        <w:tc>
          <w:tcPr>
            <w:tcW w:type="dxa" w:w="16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agreed</w:t>
            </w:r>
          </w:p>
        </w:tc>
      </w:tr>
    </w:tbl>
    <w:p>
      <w:pPr>
        <w:spacing w:before="120" w:after="120" w:line="276"/>
      </w:pPr>
      <w:r>
        <w:rPr>
          <w:rFonts w:ascii="Aptos" w:cs="Aptos" w:eastAsia="Aptos" w:hAnsi="Aptos"/>
          <w:color w:val="1E2833"/>
          <w:sz w:val="20"/>
          <w:szCs w:val="20"/>
        </w:rPr>
        <w:t xml:space="preserve">If the Academy cannot decide within 15 business days (for example because a witness is on leave), Rohan Desai tells the complainant in writing why, what is happening and when they can expect a decision, and keeps them updated at least every 10 business days.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Appeal procedure</w:t>
      </w:r>
    </w:p>
    <w:p>
      <w:pPr>
        <w:spacing w:before="0" w:after="120" w:line="276"/>
      </w:pPr>
      <w:r>
        <w:rPr>
          <w:rFonts w:ascii="Aptos" w:cs="Aptos" w:eastAsia="Aptos" w:hAnsi="Aptos"/>
          <w:color w:val="1E2833"/>
          <w:sz w:val="20"/>
          <w:szCs w:val="20"/>
        </w:rPr>
        <w:t xml:space="preserve">Any adverse decision can be appealed. The steps, timeframes and register are the same as for a complaint (section 6): lodge within 30 days of being told the decision, acknowledgement within 2 business days and a decision within 15 business days.</w:t>
      </w:r>
    </w:p>
    <w:p>
      <w:pPr>
        <w:keepNext/>
        <w:spacing w:before="200" w:after="80"/>
      </w:pPr>
      <w:r>
        <w:rPr>
          <w:rFonts w:ascii="Aptos Display" w:cs="Aptos Display" w:eastAsia="Aptos Display" w:hAnsi="Aptos Display"/>
          <w:b/>
          <w:bCs/>
          <w:color w:val="4F7F80"/>
          <w:sz w:val="24"/>
          <w:szCs w:val="24"/>
        </w:rPr>
        <w:t xml:space="preserve">7.1 Assessment appeals</w:t>
      </w:r>
    </w:p>
    <w:p>
      <w:pPr>
        <w:pStyle w:val="ListParagraph"/>
        <w:numPr>
          <w:ilvl w:val="0"/>
          <w:numId w:val="2"/>
        </w:numPr>
        <w:spacing w:after="60" w:line="264"/>
      </w:pPr>
      <w:r>
        <w:rPr>
          <w:rFonts w:ascii="Aptos" w:cs="Aptos" w:eastAsia="Aptos" w:hAnsi="Aptos"/>
          <w:color w:val="1E2833"/>
          <w:sz w:val="20"/>
          <w:szCs w:val="20"/>
        </w:rPr>
        <w:t xml:space="preserve">An appeal against an assessment decision (including an RPL decision) is re-assessed by a different assessor, who did not make the original decision and has no conflict of interest. The re-assessor holds a Credential Policy 1A credential, the vocational competency for the unit and current industry skills (SRA-RTO-003 section 3).</w:t>
      </w:r>
    </w:p>
    <w:p>
      <w:pPr>
        <w:pStyle w:val="ListParagraph"/>
        <w:numPr>
          <w:ilvl w:val="0"/>
          <w:numId w:val="2"/>
        </w:numPr>
        <w:spacing w:after="60" w:line="264"/>
      </w:pPr>
      <w:r>
        <w:rPr>
          <w:rFonts w:ascii="Aptos" w:cs="Aptos" w:eastAsia="Aptos" w:hAnsi="Aptos"/>
          <w:color w:val="1E2833"/>
          <w:sz w:val="20"/>
          <w:szCs w:val="20"/>
        </w:rPr>
        <w:t xml:space="preserve">The re-assessor reviews all the evidence and, where needed, gathers further evidence, using the current tool and any agreed customisation or adjustment (for example oral questioning in the learner's LLN support plan).</w:t>
      </w:r>
    </w:p>
    <w:p>
      <w:pPr>
        <w:pStyle w:val="ListParagraph"/>
        <w:numPr>
          <w:ilvl w:val="0"/>
          <w:numId w:val="2"/>
        </w:numPr>
        <w:spacing w:after="60" w:line="264"/>
      </w:pPr>
      <w:r>
        <w:rPr>
          <w:rFonts w:ascii="Aptos" w:cs="Aptos" w:eastAsia="Aptos" w:hAnsi="Aptos"/>
          <w:color w:val="1E2833"/>
          <w:sz w:val="20"/>
          <w:szCs w:val="20"/>
        </w:rPr>
        <w:t xml:space="preserve">The re-assessor recommends a decision with reasons. Gemma Whitfield makes the final internal decision.</w:t>
      </w:r>
    </w:p>
    <w:p>
      <w:pPr>
        <w:pStyle w:val="ListParagraph"/>
        <w:numPr>
          <w:ilvl w:val="0"/>
          <w:numId w:val="2"/>
        </w:numPr>
        <w:spacing w:after="60" w:line="264"/>
      </w:pPr>
      <w:r>
        <w:rPr>
          <w:rFonts w:ascii="Aptos" w:cs="Aptos" w:eastAsia="Aptos" w:hAnsi="Aptos"/>
          <w:color w:val="1E2833"/>
          <w:sz w:val="20"/>
          <w:szCs w:val="20"/>
        </w:rPr>
        <w:t xml:space="preserve">While an appeal is open, the learner continues their training. The original result stands until the appeal is decided.</w:t>
      </w:r>
    </w:p>
    <w:p>
      <w:pPr>
        <w:pStyle w:val="ListParagraph"/>
        <w:numPr>
          <w:ilvl w:val="0"/>
          <w:numId w:val="2"/>
        </w:numPr>
        <w:spacing w:after="60" w:line="264"/>
      </w:pPr>
      <w:r>
        <w:rPr>
          <w:rFonts w:ascii="Aptos" w:cs="Aptos" w:eastAsia="Aptos" w:hAnsi="Aptos"/>
          <w:color w:val="1E2833"/>
          <w:sz w:val="20"/>
          <w:szCs w:val="20"/>
        </w:rPr>
        <w:t xml:space="preserve">Assessors tell candidates about their appeal rights at the pre-assessment briefing and with every outcome (SRA-RTO-003 sections 5 and 10).</w:t>
      </w:r>
    </w:p>
    <w:p>
      <w:pPr>
        <w:keepNext/>
        <w:spacing w:before="200" w:after="80"/>
      </w:pPr>
      <w:r>
        <w:rPr>
          <w:rFonts w:ascii="Aptos Display" w:cs="Aptos Display" w:eastAsia="Aptos Display" w:hAnsi="Aptos Display"/>
          <w:b/>
          <w:bCs/>
          <w:color w:val="4F7F80"/>
          <w:sz w:val="24"/>
          <w:szCs w:val="24"/>
        </w:rPr>
        <w:t xml:space="preserve">7.2 Other appeals</w:t>
      </w:r>
    </w:p>
    <w:p>
      <w:pPr>
        <w:spacing w:before="0" w:after="120" w:line="276"/>
      </w:pPr>
      <w:r>
        <w:rPr>
          <w:rFonts w:ascii="Aptos" w:cs="Aptos" w:eastAsia="Aptos" w:hAnsi="Aptos"/>
          <w:color w:val="1E2833"/>
          <w:sz w:val="20"/>
          <w:szCs w:val="20"/>
        </w:rPr>
        <w:t xml:space="preserve">Appeals against other decisions (for example enrolment, credit transfer, a reasonable adjustment that was not possible, or a certificate) are reviewed by a staff member who did not make the decision, and decided by Gemma Whitfield.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Independent review at no cost</w:t>
      </w:r>
    </w:p>
    <w:p>
      <w:pPr>
        <w:spacing w:before="0" w:after="120" w:line="276"/>
      </w:pPr>
      <w:r>
        <w:rPr>
          <w:rFonts w:ascii="Aptos" w:cs="Aptos" w:eastAsia="Aptos" w:hAnsi="Aptos"/>
          <w:color w:val="1E2833"/>
          <w:sz w:val="20"/>
          <w:szCs w:val="20"/>
        </w:rPr>
        <w:t xml:space="preserve">If the complainant or appellant is not satisfied with the Academy's final internal decision, they can ask for it to be reviewed by an independent party, at no cost to them (Standard 2.8).</w:t>
      </w:r>
    </w:p>
    <w:p>
      <w:pPr>
        <w:pStyle w:val="ListParagraph"/>
        <w:numPr>
          <w:ilvl w:val="0"/>
          <w:numId w:val="2"/>
        </w:numPr>
        <w:spacing w:after="60" w:line="264"/>
      </w:pPr>
      <w:r>
        <w:rPr>
          <w:rFonts w:ascii="Aptos" w:cs="Aptos" w:eastAsia="Aptos" w:hAnsi="Aptos"/>
          <w:color w:val="1E2833"/>
          <w:sz w:val="20"/>
          <w:szCs w:val="20"/>
        </w:rPr>
        <w:t xml:space="preserve">The request is made to Rohan Desai within 30 days of receiving the final internal decision, in any form.</w:t>
      </w:r>
    </w:p>
    <w:p>
      <w:pPr>
        <w:pStyle w:val="ListParagraph"/>
        <w:numPr>
          <w:ilvl w:val="0"/>
          <w:numId w:val="2"/>
        </w:numPr>
        <w:spacing w:after="60" w:line="264"/>
      </w:pPr>
      <w:r>
        <w:rPr>
          <w:rFonts w:ascii="Aptos" w:cs="Aptos" w:eastAsia="Aptos" w:hAnsi="Aptos"/>
          <w:color w:val="1E2833"/>
          <w:sz w:val="20"/>
          <w:szCs w:val="20"/>
        </w:rPr>
        <w:t xml:space="preserve">The Academy engages an independent VET consultant, paid by SteelRiver. The reviewer is never Ruth Ellery (the Academy's external validator) and never anyone who trained or assessed the learner or was involved in the decision.</w:t>
      </w:r>
    </w:p>
    <w:p>
      <w:pPr>
        <w:pStyle w:val="ListParagraph"/>
        <w:numPr>
          <w:ilvl w:val="0"/>
          <w:numId w:val="2"/>
        </w:numPr>
        <w:spacing w:after="60" w:line="264"/>
      </w:pPr>
      <w:r>
        <w:rPr>
          <w:rFonts w:ascii="Aptos" w:cs="Aptos" w:eastAsia="Aptos" w:hAnsi="Aptos"/>
          <w:color w:val="1E2833"/>
          <w:sz w:val="20"/>
          <w:szCs w:val="20"/>
        </w:rPr>
        <w:t xml:space="preserve">The reviewer receives the file, may speak to the people involved, and reports to Gemma Whitfield and the person with a recommendation and reasons, usually within 20 business days.</w:t>
      </w:r>
    </w:p>
    <w:p>
      <w:pPr>
        <w:pStyle w:val="ListParagraph"/>
        <w:numPr>
          <w:ilvl w:val="0"/>
          <w:numId w:val="2"/>
        </w:numPr>
        <w:spacing w:after="60" w:line="264"/>
      </w:pPr>
      <w:r>
        <w:rPr>
          <w:rFonts w:ascii="Aptos" w:cs="Aptos" w:eastAsia="Aptos" w:hAnsi="Aptos"/>
          <w:color w:val="1E2833"/>
          <w:sz w:val="20"/>
          <w:szCs w:val="20"/>
        </w:rPr>
        <w:t xml:space="preserve">The Academy acts on the reviewer's recommendation. If Gemma Whitfield does not accept it, she gives written reasons to the person and to Lila Petrov.</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External options</w:t>
      </w:r>
    </w:p>
    <w:p>
      <w:pPr>
        <w:spacing w:before="0" w:after="120" w:line="276"/>
      </w:pPr>
      <w:r>
        <w:rPr>
          <w:rFonts w:ascii="Aptos" w:cs="Aptos" w:eastAsia="Aptos" w:hAnsi="Aptos"/>
          <w:color w:val="1E2833"/>
          <w:sz w:val="20"/>
          <w:szCs w:val="20"/>
        </w:rPr>
        <w:t xml:space="preserve">A person may go to an external body at any time. The Academy will tell them how and will not treat them unfairly for doing so.</w:t>
      </w:r>
    </w:p>
    <w:p>
      <w:pPr>
        <w:pStyle w:val="ListParagraph"/>
        <w:numPr>
          <w:ilvl w:val="0"/>
          <w:numId w:val="2"/>
        </w:numPr>
        <w:spacing w:after="60" w:line="264"/>
      </w:pPr>
      <w:r>
        <w:rPr>
          <w:rFonts w:ascii="Aptos" w:cs="Aptos" w:eastAsia="Aptos" w:hAnsi="Aptos"/>
          <w:color w:val="1E2833"/>
          <w:sz w:val="20"/>
          <w:szCs w:val="20"/>
        </w:rPr>
        <w:t xml:space="preserve">The Training Accreditation Council (TAC), the Academy's registering body in Western Australia, which receives complaints about registered training organisations.</w:t>
      </w:r>
    </w:p>
    <w:p>
      <w:pPr>
        <w:pStyle w:val="ListParagraph"/>
        <w:numPr>
          <w:ilvl w:val="0"/>
          <w:numId w:val="2"/>
        </w:numPr>
        <w:spacing w:after="60" w:line="264"/>
      </w:pPr>
      <w:r>
        <w:rPr>
          <w:rFonts w:ascii="Aptos" w:cs="Aptos" w:eastAsia="Aptos" w:hAnsi="Aptos"/>
          <w:color w:val="1E2833"/>
          <w:sz w:val="20"/>
          <w:szCs w:val="20"/>
        </w:rPr>
        <w:t xml:space="preserve">The Office of the Australian Information Commissioner, for a complaint about the handling of personal information that SteelRiver has not resolved (Privacy Act 1988).</w:t>
      </w:r>
    </w:p>
    <w:p>
      <w:pPr>
        <w:pStyle w:val="ListParagraph"/>
        <w:numPr>
          <w:ilvl w:val="0"/>
          <w:numId w:val="2"/>
        </w:numPr>
        <w:spacing w:after="60" w:line="264"/>
      </w:pPr>
      <w:r>
        <w:rPr>
          <w:rFonts w:ascii="Aptos" w:cs="Aptos" w:eastAsia="Aptos" w:hAnsi="Aptos"/>
          <w:color w:val="1E2833"/>
          <w:sz w:val="20"/>
          <w:szCs w:val="20"/>
        </w:rPr>
        <w:t xml:space="preserve">For workplace safety concerns, SteelRiver's WHS procedures and WorkSafe WA.</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Register and continuous improvement</w:t>
      </w:r>
    </w:p>
    <w:p>
      <w:pPr>
        <w:pStyle w:val="ListParagraph"/>
        <w:numPr>
          <w:ilvl w:val="0"/>
          <w:numId w:val="2"/>
        </w:numPr>
        <w:spacing w:after="60" w:line="264"/>
      </w:pPr>
      <w:r>
        <w:rPr>
          <w:rFonts w:ascii="Aptos" w:cs="Aptos" w:eastAsia="Aptos" w:hAnsi="Aptos"/>
          <w:color w:val="1E2833"/>
          <w:sz w:val="20"/>
          <w:szCs w:val="20"/>
        </w:rPr>
        <w:t xml:space="preserve">Rohan Desai keeps the complaints and appeals register: reference, date received, how received, type (complaint, appeal or both), summary, the person handling it, dates acknowledged and decided, outcome, any independent review or external referral, and the linked improvement action (CI number).</w:t>
      </w:r>
    </w:p>
    <w:p>
      <w:pPr>
        <w:pStyle w:val="ListParagraph"/>
        <w:numPr>
          <w:ilvl w:val="0"/>
          <w:numId w:val="2"/>
        </w:numPr>
        <w:spacing w:after="60" w:line="264"/>
      </w:pPr>
      <w:r>
        <w:rPr>
          <w:rFonts w:ascii="Aptos" w:cs="Aptos" w:eastAsia="Aptos" w:hAnsi="Aptos"/>
          <w:color w:val="1E2833"/>
          <w:sz w:val="20"/>
          <w:szCs w:val="20"/>
        </w:rPr>
        <w:t xml:space="preserve">Every complaint and appeal is reported to the Quality Committee at its next meeting, with the cause and any improvement action. Patterns are reviewed each year.</w:t>
      </w:r>
    </w:p>
    <w:p>
      <w:pPr>
        <w:pStyle w:val="ListParagraph"/>
        <w:numPr>
          <w:ilvl w:val="0"/>
          <w:numId w:val="2"/>
        </w:numPr>
        <w:spacing w:after="60" w:line="264"/>
      </w:pPr>
      <w:r>
        <w:rPr>
          <w:rFonts w:ascii="Aptos" w:cs="Aptos" w:eastAsia="Aptos" w:hAnsi="Aptos"/>
          <w:color w:val="1E2833"/>
          <w:sz w:val="20"/>
          <w:szCs w:val="20"/>
        </w:rPr>
        <w:t xml:space="preserve">Improvement actions go on the continuous improvement register (SRA-RTO-002), for example a change to the release roster, to a tool or to how support plans are checked before assessment.</w:t>
      </w:r>
    </w:p>
    <w:p>
      <w:pPr>
        <w:pStyle w:val="ListParagraph"/>
        <w:numPr>
          <w:ilvl w:val="0"/>
          <w:numId w:val="2"/>
        </w:numPr>
        <w:spacing w:after="60" w:line="264"/>
      </w:pPr>
      <w:r>
        <w:rPr>
          <w:rFonts w:ascii="Aptos" w:cs="Aptos" w:eastAsia="Aptos" w:hAnsi="Aptos"/>
          <w:color w:val="1E2833"/>
          <w:sz w:val="20"/>
          <w:szCs w:val="20"/>
        </w:rPr>
        <w:t xml:space="preserve">A year-end extract of the register is kept (SRA-RTO-039) and summarised in the annual self-assurance review.</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Records and confidentiality</w:t>
      </w:r>
    </w:p>
    <w:p>
      <w:pPr>
        <w:pStyle w:val="ListParagraph"/>
        <w:numPr>
          <w:ilvl w:val="0"/>
          <w:numId w:val="2"/>
        </w:numPr>
        <w:spacing w:after="60" w:line="264"/>
      </w:pPr>
      <w:r>
        <w:rPr>
          <w:rFonts w:ascii="Aptos" w:cs="Aptos" w:eastAsia="Aptos" w:hAnsi="Aptos"/>
          <w:color w:val="1E2833"/>
          <w:sz w:val="20"/>
          <w:szCs w:val="20"/>
        </w:rPr>
        <w:t xml:space="preserve">Complaint and appeal files, including correspondence, evidence, the decision and any review, are kept by Rohan Desai in the restricted complaints folder under SRL-CR-019, and a note of any appeal outcome is kept in the learner's SMS file.</w:t>
      </w:r>
    </w:p>
    <w:p>
      <w:pPr>
        <w:pStyle w:val="ListParagraph"/>
        <w:numPr>
          <w:ilvl w:val="0"/>
          <w:numId w:val="2"/>
        </w:numPr>
        <w:spacing w:after="60" w:line="264"/>
      </w:pPr>
      <w:r>
        <w:rPr>
          <w:rFonts w:ascii="Aptos" w:cs="Aptos" w:eastAsia="Aptos" w:hAnsi="Aptos"/>
          <w:color w:val="1E2833"/>
          <w:sz w:val="20"/>
          <w:szCs w:val="20"/>
        </w:rPr>
        <w:t xml:space="preserve">Personal information is handled under SRL-CR-018 Information Privacy and Confidentiality Policy and the Privacy Act 1988 (Compliance Standards s20). Only people who need it to resolve the matter see the file.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final internal decision on complaints and appeals; engages the independent reviewer; acts on reviews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Head of People and Culture (Lila Petrov)</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Decides complaints about the Academy Manager; Privacy Officer</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Registers and acknowledges complaints and appeals; investigates or appoints an investigator; arranges re-assessment; keeps the register; reports to the Quality Committee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All Academy staff</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Receive complaints and appeals in any form; pass them to Rohan Desai the same day; tell learners their options; never victimise anyone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Re-assessor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Re-assesses an appealed assessment independently and recommends a decision with reasons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Student Services (Ivy Chua)</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Helps people make a complaint or appeal; updates the SMS with any changed result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Related documents</w:t>
      </w:r>
    </w:p>
    <w:p>
      <w:pPr>
        <w:pStyle w:val="ListParagraph"/>
        <w:numPr>
          <w:ilvl w:val="0"/>
          <w:numId w:val="2"/>
        </w:numPr>
        <w:spacing w:after="60" w:line="264"/>
      </w:pPr>
      <w:r>
        <w:rPr>
          <w:rFonts w:ascii="Aptos" w:cs="Aptos" w:eastAsia="Aptos" w:hAnsi="Aptos"/>
          <w:color w:val="1E2833"/>
          <w:sz w:val="20"/>
          <w:szCs w:val="20"/>
        </w:rPr>
        <w:t xml:space="preserve">SRA-RTO-002 Governance, Compliance and Continuous Improvement Policy</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SRA-RTO-005 Recognition of Prior Learning and Credit Transfer Policy and Procedure</w:t>
      </w:r>
    </w:p>
    <w:p>
      <w:pPr>
        <w:pStyle w:val="ListParagraph"/>
        <w:numPr>
          <w:ilvl w:val="0"/>
          <w:numId w:val="2"/>
        </w:numPr>
        <w:spacing w:after="60" w:line="264"/>
      </w:pPr>
      <w:r>
        <w:rPr>
          <w:rFonts w:ascii="Aptos" w:cs="Aptos" w:eastAsia="Aptos" w:hAnsi="Aptos"/>
          <w:color w:val="1E2833"/>
          <w:sz w:val="20"/>
          <w:szCs w:val="20"/>
        </w:rPr>
        <w:t xml:space="preserve">SRA-RTO-006 Language, Literacy, Numeracy and Learner Support Policy; SRA-RTO-010 Learner Handbook</w:t>
      </w:r>
    </w:p>
    <w:p>
      <w:pPr>
        <w:pStyle w:val="ListParagraph"/>
        <w:numPr>
          <w:ilvl w:val="0"/>
          <w:numId w:val="2"/>
        </w:numPr>
        <w:spacing w:after="60" w:line="264"/>
      </w:pPr>
      <w:r>
        <w:rPr>
          <w:rFonts w:ascii="Aptos" w:cs="Aptos" w:eastAsia="Aptos" w:hAnsi="Aptos"/>
          <w:color w:val="1E2833"/>
          <w:sz w:val="20"/>
          <w:szCs w:val="20"/>
        </w:rPr>
        <w:t xml:space="preserve">SRA-RTO-039 Complaints, Appeals and Continuous Improvement Register Extract</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SRL-CR-019 Document Control and Records Management Policy (incl. Records Retention Schedule); SRL-CR-020 Code of Conduct; SRL-CR-040 Grievance Procedure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Standards and legislation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3552"/>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2.7: complaints management with procedural fairness, outcomes documented and communicated, used for continuous improvement</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to 6 and 10</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2.8: appeals of decisions, including review by an independent party at no cost</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7 and 8</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4.4: continuous improvement</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10</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s20; Privacy Act 1988</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A. Complaint and appeal form</w:t>
      </w:r>
    </w:p>
    <w:p>
      <w:pPr>
        <w:spacing w:before="0" w:after="120" w:line="276"/>
      </w:pPr>
      <w:r>
        <w:rPr>
          <w:rFonts w:ascii="Aptos" w:cs="Aptos" w:eastAsia="Aptos" w:hAnsi="Aptos"/>
          <w:color w:val="1E2833"/>
          <w:sz w:val="18"/>
          <w:szCs w:val="18"/>
        </w:rPr>
        <w:t xml:space="preserve">You can also tell any trainer in person. Ask Student Services or any trainer for help with this form or for an interpreter. There is no cost.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ABOUT YOU</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and shift (if you work at SteelRiver)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Best way to contact you</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 do you need an interpreter?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person (if you want one)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IS THIS A COMPLAINT OR AN APPEAL?</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Complaint</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Appeal of an assessment or RPL decision</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Appeal of another decision</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Unit or decision (if an appeal)</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 of the event or decision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WHAT HAPPENED</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8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WHAT WOULD YOU LIKE TO HAPPEN?</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trHeight w:val="1200" w:hRule="atLeast"/>
        </w:trPr>
        <w:tc>
          <w:tcPr>
            <w:tcW w:type="dxa" w:w="9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Your signature (or "told verbally", recorded by staff)</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OFFICE USE (ROHAN DESAI)</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Received by and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Reference number (C-year-number)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Acknowledged on (within 2 business days)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Investigator or re-assessor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Decision date (within 15 business days) and decided by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Independent review requested?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Improvement action (CI number)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(Standards 2.7 and 2.8). Independent review at no cost by an independent VET consultant paid by SteelRiver (section 8); outcomes sent to all parties; staff to pass complaints to the Quality and Compliance Coordinator the same day; register linked to the continuous improvement register.</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2024</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Complaints and appeals register numbering introduced (C-year-number).</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SRA-RTO-008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SRA-RTO-008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SRA-RTO-008  ·  Complaints and Appeals Policy and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SRA-RTO-008 Complaints and Appeals Policy and Procedure</dc:title>
  <dc:creator>SteelRiver Logistics Pty Ltd trading as SteelRiver Academy</dc:creator>
  <cp:lastModifiedBy>Un-named</cp:lastModifiedBy>
  <cp:revision>1</cp:revision>
  <dcterms:created xsi:type="dcterms:W3CDTF">2026-11-01T14:49:45.813Z</dcterms:created>
  <dcterms:modified xsi:type="dcterms:W3CDTF">2026-11-01T14:49:45.813Z</dcterms:modified>
</cp:coreProperties>
</file>

<file path=docProps/custom.xml><?xml version="1.0" encoding="utf-8"?>
<Properties xmlns="http://schemas.openxmlformats.org/officeDocument/2006/custom-properties" xmlns:vt="http://schemas.openxmlformats.org/officeDocument/2006/docPropsVTypes"/>
</file>