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SRA-RTO-009</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Trainer and Assessor Credentials, Currency and Professional Development Policy</w:t>
      </w:r>
    </w:p>
    <w:p>
      <w:pPr>
        <w:spacing w:before="0" w:after="160" w:line="276"/>
      </w:pPr>
      <w:r>
        <w:rPr>
          <w:rFonts w:ascii="Aptos" w:cs="Aptos" w:eastAsia="Aptos" w:hAnsi="Aptos"/>
          <w:color w:val="4F7F80"/>
          <w:sz w:val="24"/>
          <w:szCs w:val="24"/>
        </w:rPr>
        <w:t xml:space="preserve">Who may train, assess, direct and validate at SteelRiver Academy, and how trainers keep their skills current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Academy trainers and assessors, people working under direction, validators, and managers of the trainer team</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Learners at SteelRiver Academy (the Academy) deserve trainers who know how to train and assess, know the work, and know how it is done at the Perth DC today. This policy sets the credentials the Academy requires, how vocational competency and industry currency are shown and kept up, how people work under direction, and how every trainer plans and records professional development (PD). It gives effect to Standards 3.1 to 3.3 of the Standards for RTOs 2025 and the Credential Policy (DEWR, version of 10 December 2025).</w:t>
      </w:r>
    </w:p>
    <w:p>
      <w:pPr>
        <w:spacing w:before="0" w:after="120" w:line="276"/>
      </w:pPr>
      <w:r>
        <w:rPr>
          <w:rFonts w:ascii="Aptos" w:cs="Aptos" w:eastAsia="Aptos" w:hAnsi="Aptos"/>
          <w:color w:val="1E2833"/>
          <w:sz w:val="20"/>
          <w:szCs w:val="20"/>
        </w:rPr>
        <w:t xml:space="preserve">It applies to everyone who delivers training, conducts assessment, gives direction or validates assessment at the Academy, and to the managers who plan and approve their development.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and assessment credential</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credential listed in the Credential Policy that allows a person to deliver training and assessment, with or without direction.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Vocational competency</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Competency at least to the level being delivered and assessed in the unit (Standard 3.3(2)(a)(i)), shown by holding the unit or an equivalent, or by other evidence of competency.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Industry currency</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Current industry skills directly relevant to the unit, as it is done in the workplace now (Standard 3.3(2)(a)(ii)). At the Academy that means current Perth DC practice.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Under direction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Working as a trainer or assessor while overseen by a person who meets Credential Policy 1E, because one's own credential is under 1C or 1D.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VET PD</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Development of skills and knowledge in vocational training, learning and assessment (for example LLN strategies, validation practice, digital delivery).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Industry PD</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Activities that keep industry skills current (for example rostered floor shifts, time with shift supervisors and warehouse leads, industry engagement sessions).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Credential requirements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500"/>
        <w:gridCol w:w="38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Policy</w:t>
            </w:r>
          </w:p>
        </w:tc>
        <w:tc>
          <w:tcPr>
            <w:tcW w:type="dxa" w:w="4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allows</w:t>
            </w:r>
          </w:p>
        </w:tc>
        <w:tc>
          <w:tcPr>
            <w:tcW w:type="dxa" w:w="3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the Academy applies it</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w:t>
            </w:r>
          </w:p>
        </w:tc>
        <w:tc>
          <w:tcPr>
            <w:tcW w:type="dxa" w:w="4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and assessment without direction, for a person holding a listed credential: TAE40122, TAE40116 or TAE40110 Certificate IV in Training and Assessment, or a diploma or higher qualification in adult education or vocational education and training</w:t>
            </w:r>
          </w:p>
        </w:tc>
        <w:tc>
          <w:tcPr>
            <w:tcW w:type="dxa" w:w="3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 train, assess and make assessment judgements in any unit for which SRA-RTO-041 also records vocational competency and current industry skills</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1C</w:t>
            </w:r>
          </w:p>
        </w:tc>
        <w:tc>
          <w:tcPr>
            <w:tcW w:type="dxa" w:w="4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and assessment under direction, for a person actively working towards TAE40122 or TAE50122: enrolled, commenced and on track to complete within two years</w:t>
            </w:r>
          </w:p>
        </w:tc>
        <w:tc>
          <w:tcPr>
            <w:tcW w:type="dxa" w:w="3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Delivers training and conducts assessment and collects evidence under direction (section 5). Never makes an assessment judgement. Progress checked at each six-monthly PD review</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1D</w:t>
            </w:r>
          </w:p>
        </w:tc>
        <w:tc>
          <w:tcPr>
            <w:tcW w:type="dxa" w:w="4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and assessment under direction, for a person holding a listed skill set (for example TAESS00015 Enterprise Trainer and Assessor Skill Set)</w:t>
            </w:r>
          </w:p>
        </w:tc>
        <w:tc>
          <w:tcPr>
            <w:tcW w:type="dxa" w:w="3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1C: under direction, no assessment judgements</w:t>
            </w:r>
          </w:p>
        </w:tc>
      </w:tr>
      <w:tr>
        <w:trPr>
          <w:cantSplit/>
        </w:trPr>
        <w:tc>
          <w:tcPr>
            <w:tcW w:type="dxa" w:w="1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1E</w:t>
            </w:r>
          </w:p>
        </w:tc>
        <w:tc>
          <w:tcPr>
            <w:tcW w:type="dxa" w:w="4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Who may give direction: a person holding one of the listed Certificate IV credentials or a diploma or higher</w:t>
            </w:r>
          </w:p>
        </w:tc>
        <w:tc>
          <w:tcPr>
            <w:tcW w:type="dxa" w:w="38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the Academy, direction is given by the Lead Trainer and Assessor (Craig Moretti) or another trainer whom Gemma Whitfield names and who meets 1E</w:t>
            </w:r>
          </w:p>
        </w:tc>
      </w:tr>
      <w:tr>
        <w:trPr>
          <w:cantSplit/>
        </w:trPr>
        <w:tc>
          <w:tcPr>
            <w:tcW w:type="dxa" w:w="1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3A</w:t>
            </w:r>
          </w:p>
        </w:tc>
        <w:tc>
          <w:tcPr>
            <w:tcW w:type="dxa" w:w="4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one person validating assessment holds one of the listed credentials</w:t>
            </w:r>
          </w:p>
        </w:tc>
        <w:tc>
          <w:tcPr>
            <w:tcW w:type="dxa" w:w="3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validation panel includes Rohan Desai or Ruth Ellery, who meet 3A (SRA-RTO-004 section 4)</w:t>
            </w:r>
          </w:p>
        </w:tc>
      </w:tr>
    </w:tbl>
    <w:p>
      <w:pPr>
        <w:pStyle w:val="ListParagraph"/>
        <w:numPr>
          <w:ilvl w:val="0"/>
          <w:numId w:val="2"/>
        </w:numPr>
        <w:spacing w:after="60" w:line="264"/>
      </w:pPr>
      <w:r>
        <w:rPr>
          <w:rFonts w:ascii="Aptos" w:cs="Aptos" w:eastAsia="Aptos" w:hAnsi="Aptos"/>
          <w:color w:val="1E2833"/>
          <w:sz w:val="20"/>
          <w:szCs w:val="20"/>
        </w:rPr>
        <w:t xml:space="preserve">Credentials are checked when a person is appointed: the original testamur or Statement of Attainment is sighted and verified with the issuing RTO or the person's USI transcript, and recorded in SRA-RTO-041.</w:t>
      </w:r>
    </w:p>
    <w:p>
      <w:pPr>
        <w:pStyle w:val="ListParagraph"/>
        <w:numPr>
          <w:ilvl w:val="0"/>
          <w:numId w:val="2"/>
        </w:numPr>
        <w:spacing w:after="60" w:line="264"/>
      </w:pPr>
      <w:r>
        <w:rPr>
          <w:rFonts w:ascii="Aptos" w:cs="Aptos" w:eastAsia="Aptos" w:hAnsi="Aptos"/>
          <w:color w:val="1E2833"/>
          <w:sz w:val="20"/>
          <w:szCs w:val="20"/>
        </w:rPr>
        <w:t xml:space="preserve">A person under 1C who stops being on track to finish within two years cannot keep working under 1C. Gemma Whitfield agrees a plan with them before that point.</w:t>
      </w:r>
    </w:p>
    <w:p>
      <w:pPr>
        <w:pStyle w:val="ListParagraph"/>
        <w:numPr>
          <w:ilvl w:val="0"/>
          <w:numId w:val="2"/>
        </w:numPr>
        <w:spacing w:after="60" w:line="264"/>
      </w:pPr>
      <w:r>
        <w:rPr>
          <w:rFonts w:ascii="Aptos" w:cs="Aptos" w:eastAsia="Aptos" w:hAnsi="Aptos"/>
          <w:color w:val="1E2833"/>
          <w:sz w:val="20"/>
          <w:szCs w:val="20"/>
        </w:rPr>
        <w:t xml:space="preserve">Managers who do not deliver or assess (for example the Academy Manager) are recorded in SRA-RTO-041 but need no vocational competency in TLI units.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Vocational competency and industry currency</w:t>
      </w:r>
    </w:p>
    <w:p>
      <w:pPr>
        <w:spacing w:before="0" w:after="120" w:line="276"/>
      </w:pPr>
      <w:r>
        <w:rPr>
          <w:rFonts w:ascii="Aptos" w:cs="Aptos" w:eastAsia="Aptos" w:hAnsi="Aptos"/>
          <w:color w:val="1E2833"/>
          <w:sz w:val="20"/>
          <w:szCs w:val="20"/>
        </w:rPr>
        <w:t xml:space="preserve">Every trainer and assessor has vocational competency at least to the level being delivered and assessed, and current industry skills, for every unit they deliver or assess (Standard 3.3). They deliver and assess only units for which SRA-RTO-041 shows both.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400"/>
        <w:gridCol w:w="17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5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the Academy accepts</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Recorded in</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Vocational competency (Standard 3.3(2)(a)(i))</w:t>
            </w:r>
          </w:p>
        </w:tc>
        <w:tc>
          <w:tcPr>
            <w:tcW w:type="dxa" w:w="5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unit or an equivalent unit on a testamur, record of results or Statement of Attainment; or the qualification that contains it (for example TLI30325, or TLI30321 mapped to the current units); where a qualification is superseded, a mapping of the units held to the current units on training.gov.au, with gap training, assessment or RPL for any gap</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SRA-RTO-041</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 industry skills (Standard 3.3(2)(a)(ii))</w:t>
            </w:r>
          </w:p>
        </w:tc>
        <w:tc>
          <w:tcPr>
            <w:tcW w:type="dxa" w:w="5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Recent work in the role; rostered floor shifts at the Perth DC; time with shift supervisors and warehouse leads on the tasks in the unit; industry engagement sessions; briefings on new or changed SteelRiver procedures; each with dates, hours, what was done and who confirmed it</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SRA-RTO-041; SRA-RTO-043</w:t>
            </w:r>
          </w:p>
        </w:tc>
      </w:tr>
    </w:tbl>
    <w:p>
      <w:pPr>
        <w:keepNext/>
        <w:spacing w:before="200" w:after="80"/>
      </w:pPr>
      <w:r>
        <w:rPr>
          <w:rFonts w:ascii="Aptos Display" w:cs="Aptos Display" w:eastAsia="Aptos Display" w:hAnsi="Aptos Display"/>
          <w:b/>
          <w:bCs/>
          <w:color w:val="4F7F80"/>
          <w:sz w:val="24"/>
          <w:szCs w:val="24"/>
        </w:rPr>
        <w:t xml:space="preserve">4.1 Gaps</w:t>
      </w:r>
    </w:p>
    <w:p>
      <w:pPr>
        <w:pStyle w:val="ListParagraph"/>
        <w:numPr>
          <w:ilvl w:val="0"/>
          <w:numId w:val="3"/>
        </w:numPr>
        <w:spacing w:after="60" w:line="264"/>
      </w:pPr>
      <w:r>
        <w:rPr>
          <w:rFonts w:ascii="Aptos" w:cs="Aptos" w:eastAsia="Aptos" w:hAnsi="Aptos"/>
          <w:color w:val="1E2833"/>
          <w:sz w:val="20"/>
          <w:szCs w:val="20"/>
        </w:rPr>
        <w:t xml:space="preserve">A gap in vocational competency or currency is identified (for example at the annual PD review, when a unit changes, when SteelRiver procedures change, or when a trainer is asked to deliver a new unit).</w:t>
      </w:r>
    </w:p>
    <w:p>
      <w:pPr>
        <w:pStyle w:val="ListParagraph"/>
        <w:numPr>
          <w:ilvl w:val="0"/>
          <w:numId w:val="3"/>
        </w:numPr>
        <w:spacing w:after="60" w:line="264"/>
      </w:pPr>
      <w:r>
        <w:rPr>
          <w:rFonts w:ascii="Aptos" w:cs="Aptos" w:eastAsia="Aptos" w:hAnsi="Aptos"/>
          <w:color w:val="1E2833"/>
          <w:sz w:val="20"/>
          <w:szCs w:val="20"/>
        </w:rPr>
        <w:t xml:space="preserve">The gap is recorded in SRA-RTO-041 with a plan to close it and a date. The Lead Trainer decides whether any interim arrangement is needed while the plan is completed (for example co-delivery, or moderation of judgements under SRA-RTO-003 section 9).</w:t>
      </w:r>
    </w:p>
    <w:p>
      <w:pPr>
        <w:pStyle w:val="ListParagraph"/>
        <w:numPr>
          <w:ilvl w:val="0"/>
          <w:numId w:val="3"/>
        </w:numPr>
        <w:spacing w:after="60" w:line="264"/>
      </w:pPr>
      <w:r>
        <w:rPr>
          <w:rFonts w:ascii="Aptos" w:cs="Aptos" w:eastAsia="Aptos" w:hAnsi="Aptos"/>
          <w:color w:val="1E2833"/>
          <w:sz w:val="20"/>
          <w:szCs w:val="20"/>
        </w:rPr>
        <w:t xml:space="preserve">The trainer completes the planned activities and sends the evidence to Rohan Desai, who updates SRA-RTO-041.</w:t>
      </w:r>
    </w:p>
    <w:p>
      <w:pPr>
        <w:pStyle w:val="ListParagraph"/>
        <w:numPr>
          <w:ilvl w:val="0"/>
          <w:numId w:val="3"/>
        </w:numPr>
        <w:spacing w:after="60" w:line="264"/>
      </w:pPr>
      <w:r>
        <w:rPr>
          <w:rFonts w:ascii="Aptos" w:cs="Aptos" w:eastAsia="Aptos" w:hAnsi="Aptos"/>
          <w:color w:val="1E2833"/>
          <w:sz w:val="20"/>
          <w:szCs w:val="20"/>
        </w:rPr>
        <w:t xml:space="preserve">Gemma Whitfield decides whether the recorded gap is closed.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Working under direction</w:t>
      </w:r>
    </w:p>
    <w:p>
      <w:pPr>
        <w:spacing w:before="0" w:after="120" w:line="276"/>
      </w:pPr>
      <w:r>
        <w:rPr>
          <w:rFonts w:ascii="Aptos" w:cs="Aptos" w:eastAsia="Aptos" w:hAnsi="Aptos"/>
          <w:color w:val="1E2833"/>
          <w:sz w:val="20"/>
          <w:szCs w:val="20"/>
        </w:rPr>
        <w:t xml:space="preserve">People under Credential Policy 1C or 1D deliver training and collect assessment evidence under the direction of a person who meets 1E. The directing assessor makes and signs every assessment judgement on that evidence (Standard 3.2(2)(b); SRA-RTO-003 section 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2"/>
      </w:tblGrid>
      <w:tr>
        <w:trPr>
          <w:cantSplit/>
          <w:tblHeader/>
        </w:trPr>
        <w:tc>
          <w:tcPr>
            <w:tcW w:type="dxa" w:w="3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Directing assessor does</w:t>
            </w:r>
          </w:p>
        </w:tc>
        <w:tc>
          <w:tcPr>
            <w:tcW w:type="dxa" w:w="3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under direction does</w:t>
            </w:r>
          </w:p>
        </w:tc>
        <w:tc>
          <w:tcPr>
            <w:tcW w:type="dxa" w:w="3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under direction never does</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Agrees what the person will deliver and which evidence they will collect</w:t>
            </w:r>
          </w:p>
          <w:p>
            <w:pPr>
              <w:pStyle w:val="ListParagraph"/>
              <w:numPr>
                <w:ilvl w:val="0"/>
                <w:numId w:val="2"/>
              </w:numPr>
              <w:spacing w:after="30" w:line="252"/>
            </w:pPr>
            <w:r>
              <w:rPr>
                <w:rFonts w:ascii="Aptos" w:cs="Aptos" w:eastAsia="Aptos" w:hAnsi="Aptos"/>
                <w:color w:val="1E2833"/>
                <w:sz w:val="20"/>
                <w:szCs w:val="20"/>
              </w:rPr>
              <w:t xml:space="preserve">Checks their session plans and observes their delivery</w:t>
            </w:r>
          </w:p>
          <w:p>
            <w:pPr>
              <w:pStyle w:val="ListParagraph"/>
              <w:numPr>
                <w:ilvl w:val="0"/>
                <w:numId w:val="2"/>
              </w:numPr>
              <w:spacing w:after="30" w:line="252"/>
            </w:pPr>
            <w:r>
              <w:rPr>
                <w:rFonts w:ascii="Aptos" w:cs="Aptos" w:eastAsia="Aptos" w:hAnsi="Aptos"/>
                <w:color w:val="1E2833"/>
                <w:sz w:val="20"/>
                <w:szCs w:val="20"/>
              </w:rPr>
              <w:t xml:space="preserve">Briefs them before each assessment and is available while they assess</w:t>
            </w:r>
          </w:p>
          <w:p>
            <w:pPr>
              <w:pStyle w:val="ListParagraph"/>
              <w:numPr>
                <w:ilvl w:val="0"/>
                <w:numId w:val="2"/>
              </w:numPr>
              <w:spacing w:after="30" w:line="252"/>
            </w:pPr>
            <w:r>
              <w:rPr>
                <w:rFonts w:ascii="Aptos" w:cs="Aptos" w:eastAsia="Aptos" w:hAnsi="Aptos"/>
                <w:color w:val="1E2833"/>
                <w:sz w:val="20"/>
                <w:szCs w:val="20"/>
              </w:rPr>
              <w:t xml:space="preserve">Reviews all the evidence they collect</w:t>
            </w:r>
          </w:p>
          <w:p>
            <w:pPr>
              <w:pStyle w:val="ListParagraph"/>
              <w:numPr>
                <w:ilvl w:val="0"/>
                <w:numId w:val="2"/>
              </w:numPr>
              <w:spacing w:after="30" w:line="252"/>
            </w:pPr>
            <w:r>
              <w:rPr>
                <w:rFonts w:ascii="Aptos" w:cs="Aptos" w:eastAsia="Aptos" w:hAnsi="Aptos"/>
                <w:color w:val="1E2833"/>
                <w:sz w:val="20"/>
                <w:szCs w:val="20"/>
              </w:rPr>
              <w:t xml:space="preserve">Makes, writes and signs every judgement on the Competency Judgement Record</w:t>
            </w:r>
          </w:p>
          <w:p>
            <w:pPr>
              <w:pStyle w:val="ListParagraph"/>
              <w:numPr>
                <w:ilvl w:val="0"/>
                <w:numId w:val="2"/>
              </w:numPr>
              <w:spacing w:after="30" w:line="252"/>
            </w:pPr>
            <w:r>
              <w:rPr>
                <w:rFonts w:ascii="Aptos" w:cs="Aptos" w:eastAsia="Aptos" w:hAnsi="Aptos"/>
                <w:color w:val="1E2833"/>
                <w:sz w:val="20"/>
                <w:szCs w:val="20"/>
              </w:rPr>
              <w:t xml:space="preserve">Keeps a direction record</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Delivers training from approved plans</w:t>
            </w:r>
          </w:p>
          <w:p>
            <w:pPr>
              <w:pStyle w:val="ListParagraph"/>
              <w:numPr>
                <w:ilvl w:val="0"/>
                <w:numId w:val="2"/>
              </w:numPr>
              <w:spacing w:after="30" w:line="252"/>
            </w:pPr>
            <w:r>
              <w:rPr>
                <w:rFonts w:ascii="Aptos" w:cs="Aptos" w:eastAsia="Aptos" w:hAnsi="Aptos"/>
                <w:color w:val="1E2833"/>
                <w:sz w:val="20"/>
                <w:szCs w:val="20"/>
              </w:rPr>
              <w:t xml:space="preserve">Conducts assessment and collects evidence with the current tool, as directed</w:t>
            </w:r>
          </w:p>
          <w:p>
            <w:pPr>
              <w:pStyle w:val="ListParagraph"/>
              <w:numPr>
                <w:ilvl w:val="0"/>
                <w:numId w:val="2"/>
              </w:numPr>
              <w:spacing w:after="30" w:line="252"/>
            </w:pPr>
            <w:r>
              <w:rPr>
                <w:rFonts w:ascii="Aptos" w:cs="Aptos" w:eastAsia="Aptos" w:hAnsi="Aptos"/>
                <w:color w:val="1E2833"/>
                <w:sz w:val="20"/>
                <w:szCs w:val="20"/>
              </w:rPr>
              <w:t xml:space="preserve">Records what they observed and asked, factually</w:t>
            </w:r>
          </w:p>
          <w:p>
            <w:pPr>
              <w:pStyle w:val="ListParagraph"/>
              <w:numPr>
                <w:ilvl w:val="0"/>
                <w:numId w:val="2"/>
              </w:numPr>
              <w:spacing w:after="30" w:line="252"/>
            </w:pPr>
            <w:r>
              <w:rPr>
                <w:rFonts w:ascii="Aptos" w:cs="Aptos" w:eastAsia="Aptos" w:hAnsi="Aptos"/>
                <w:color w:val="1E2833"/>
                <w:sz w:val="20"/>
                <w:szCs w:val="20"/>
              </w:rPr>
              <w:t xml:space="preserve">Hands all evidence to the directing assessor</w:t>
            </w:r>
          </w:p>
          <w:p>
            <w:pPr>
              <w:pStyle w:val="ListParagraph"/>
              <w:numPr>
                <w:ilvl w:val="0"/>
                <w:numId w:val="2"/>
              </w:numPr>
              <w:spacing w:after="30" w:line="252"/>
            </w:pPr>
            <w:r>
              <w:rPr>
                <w:rFonts w:ascii="Aptos" w:cs="Aptos" w:eastAsia="Aptos" w:hAnsi="Aptos"/>
                <w:color w:val="1E2833"/>
                <w:sz w:val="20"/>
                <w:szCs w:val="20"/>
              </w:rPr>
              <w:t xml:space="preserve">Raises questions with the directing assessor</w:t>
            </w:r>
          </w:p>
        </w:tc>
        <w:tc>
          <w:tcPr>
            <w:tcW w:type="dxa" w:w="3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pStyle w:val="ListParagraph"/>
              <w:numPr>
                <w:ilvl w:val="0"/>
                <w:numId w:val="2"/>
              </w:numPr>
              <w:spacing w:after="30" w:line="252"/>
            </w:pPr>
            <w:r>
              <w:rPr>
                <w:rFonts w:ascii="Aptos" w:cs="Aptos" w:eastAsia="Aptos" w:hAnsi="Aptos"/>
                <w:color w:val="1E2833"/>
                <w:sz w:val="20"/>
                <w:szCs w:val="20"/>
              </w:rPr>
              <w:t xml:space="preserve">Makes or writes an assessment judgement</w:t>
            </w:r>
          </w:p>
          <w:p>
            <w:pPr>
              <w:pStyle w:val="ListParagraph"/>
              <w:numPr>
                <w:ilvl w:val="0"/>
                <w:numId w:val="2"/>
              </w:numPr>
              <w:spacing w:after="30" w:line="252"/>
            </w:pPr>
            <w:r>
              <w:rPr>
                <w:rFonts w:ascii="Aptos" w:cs="Aptos" w:eastAsia="Aptos" w:hAnsi="Aptos"/>
                <w:color w:val="1E2833"/>
                <w:sz w:val="20"/>
                <w:szCs w:val="20"/>
              </w:rPr>
              <w:t xml:space="preserve">Signs a Competency Judgement Record</w:t>
            </w:r>
          </w:p>
          <w:p>
            <w:pPr>
              <w:pStyle w:val="ListParagraph"/>
              <w:numPr>
                <w:ilvl w:val="0"/>
                <w:numId w:val="2"/>
              </w:numPr>
              <w:spacing w:after="30" w:line="252"/>
            </w:pPr>
            <w:r>
              <w:rPr>
                <w:rFonts w:ascii="Aptos" w:cs="Aptos" w:eastAsia="Aptos" w:hAnsi="Aptos"/>
                <w:color w:val="1E2833"/>
                <w:sz w:val="20"/>
                <w:szCs w:val="20"/>
              </w:rPr>
              <w:t xml:space="preserve">Tells a candidate they are competent or not yet competent</w:t>
            </w:r>
          </w:p>
          <w:p>
            <w:pPr>
              <w:pStyle w:val="ListParagraph"/>
              <w:numPr>
                <w:ilvl w:val="0"/>
                <w:numId w:val="2"/>
              </w:numPr>
              <w:spacing w:after="30" w:line="252"/>
            </w:pPr>
            <w:r>
              <w:rPr>
                <w:rFonts w:ascii="Aptos" w:cs="Aptos" w:eastAsia="Aptos" w:hAnsi="Aptos"/>
                <w:color w:val="1E2833"/>
                <w:sz w:val="20"/>
                <w:szCs w:val="20"/>
              </w:rPr>
              <w:t xml:space="preserve">Signs off evidence on someone else's behalf</w:t>
            </w:r>
          </w:p>
          <w:p>
            <w:pPr>
              <w:pStyle w:val="ListParagraph"/>
              <w:numPr>
                <w:ilvl w:val="0"/>
                <w:numId w:val="2"/>
              </w:numPr>
              <w:spacing w:after="30" w:line="252"/>
            </w:pPr>
            <w:r>
              <w:rPr>
                <w:rFonts w:ascii="Aptos" w:cs="Aptos" w:eastAsia="Aptos" w:hAnsi="Aptos"/>
                <w:color w:val="1E2833"/>
                <w:sz w:val="20"/>
                <w:szCs w:val="20"/>
              </w:rPr>
              <w:t xml:space="preserve">Gives direction to anyone else</w:t>
            </w:r>
          </w:p>
        </w:tc>
      </w:tr>
    </w:tbl>
    <w:p>
      <w:pPr>
        <w:pStyle w:val="ListParagraph"/>
        <w:numPr>
          <w:ilvl w:val="0"/>
          <w:numId w:val="2"/>
        </w:numPr>
        <w:spacing w:after="60" w:line="264"/>
      </w:pPr>
      <w:r>
        <w:rPr>
          <w:rFonts w:ascii="Aptos" w:cs="Aptos" w:eastAsia="Aptos" w:hAnsi="Aptos"/>
          <w:color w:val="1E2833"/>
          <w:sz w:val="20"/>
          <w:szCs w:val="20"/>
        </w:rPr>
        <w:t xml:space="preserve">The direction arrangement (who directs whom, from when, for which units) is recorded in SRA-RTO-041. The directing assessor's name is on the assessment record of every candidate whose evidence the person under direction collected.</w:t>
      </w:r>
    </w:p>
    <w:p>
      <w:pPr>
        <w:pStyle w:val="ListParagraph"/>
        <w:numPr>
          <w:ilvl w:val="0"/>
          <w:numId w:val="2"/>
        </w:numPr>
        <w:spacing w:after="60" w:line="264"/>
      </w:pPr>
      <w:r>
        <w:rPr>
          <w:rFonts w:ascii="Aptos" w:cs="Aptos" w:eastAsia="Aptos" w:hAnsi="Aptos"/>
          <w:color w:val="1E2833"/>
          <w:sz w:val="20"/>
          <w:szCs w:val="20"/>
        </w:rPr>
        <w:t xml:space="preserve">Direction is real oversight, not a signature. A directing assessor never signs a judgement on evidence they did not review.</w:t>
      </w:r>
    </w:p>
    <w:p>
      <w:pPr>
        <w:pStyle w:val="ListParagraph"/>
        <w:numPr>
          <w:ilvl w:val="0"/>
          <w:numId w:val="2"/>
        </w:numPr>
        <w:spacing w:after="60" w:line="264"/>
      </w:pPr>
      <w:r>
        <w:rPr>
          <w:rFonts w:ascii="Aptos" w:cs="Aptos" w:eastAsia="Aptos" w:hAnsi="Aptos"/>
          <w:color w:val="1E2833"/>
          <w:sz w:val="20"/>
          <w:szCs w:val="20"/>
        </w:rPr>
        <w:t xml:space="preserve">Anyone who is asked to work outside these limits says no and tells Gemma Whitfield.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Annual PD plan</w:t>
      </w:r>
    </w:p>
    <w:p>
      <w:pPr>
        <w:pStyle w:val="ListParagraph"/>
        <w:numPr>
          <w:ilvl w:val="0"/>
          <w:numId w:val="2"/>
        </w:numPr>
        <w:spacing w:after="60" w:line="264"/>
      </w:pPr>
      <w:r>
        <w:rPr>
          <w:rFonts w:ascii="Aptos" w:cs="Aptos" w:eastAsia="Aptos" w:hAnsi="Aptos"/>
          <w:color w:val="1E2833"/>
          <w:sz w:val="20"/>
          <w:szCs w:val="20"/>
        </w:rPr>
        <w:t xml:space="preserve">Every trainer and assessor has a PD plan for each 12 months, agreed with the Academy Manager on the SRA-RTO-043 template. New trainers agree their plan within their first three weeks.</w:t>
      </w:r>
    </w:p>
    <w:p>
      <w:pPr>
        <w:pStyle w:val="ListParagraph"/>
        <w:numPr>
          <w:ilvl w:val="0"/>
          <w:numId w:val="2"/>
        </w:numPr>
        <w:spacing w:after="60" w:line="264"/>
      </w:pPr>
      <w:r>
        <w:rPr>
          <w:rFonts w:ascii="Aptos" w:cs="Aptos" w:eastAsia="Aptos" w:hAnsi="Aptos"/>
          <w:color w:val="1E2833"/>
          <w:sz w:val="20"/>
          <w:szCs w:val="20"/>
        </w:rPr>
        <w:t xml:space="preserve">The plan starts from the regulatory requirements of the person's role, then evaluates their vocational competency and industry currency for the units they deliver or will deliver, and their skills for delivering training, including digital skills. It uses feedback from industry, colleagues and learners.</w:t>
      </w:r>
    </w:p>
    <w:p>
      <w:pPr>
        <w:pStyle w:val="ListParagraph"/>
        <w:numPr>
          <w:ilvl w:val="0"/>
          <w:numId w:val="2"/>
        </w:numPr>
        <w:spacing w:after="60" w:line="264"/>
      </w:pPr>
      <w:r>
        <w:rPr>
          <w:rFonts w:ascii="Aptos" w:cs="Aptos" w:eastAsia="Aptos" w:hAnsi="Aptos"/>
          <w:color w:val="1E2833"/>
          <w:sz w:val="20"/>
          <w:szCs w:val="20"/>
        </w:rPr>
        <w:t xml:space="preserve">Every trainer completes </w:t>
      </w:r>
      <w:r>
        <w:rPr>
          <w:rFonts w:ascii="Aptos" w:cs="Aptos" w:eastAsia="Aptos" w:hAnsi="Aptos"/>
          <w:b/>
          <w:bCs/>
          <w:color w:val="1E2833"/>
          <w:sz w:val="20"/>
          <w:szCs w:val="20"/>
        </w:rPr>
        <w:t xml:space="preserve">at least 20 hours of VET and industry PD a year</w:t>
      </w:r>
      <w:r>
        <w:rPr>
          <w:rFonts w:ascii="Aptos" w:cs="Aptos" w:eastAsia="Aptos" w:hAnsi="Aptos"/>
          <w:color w:val="1E2833"/>
          <w:sz w:val="20"/>
          <w:szCs w:val="20"/>
        </w:rPr>
        <w:t xml:space="preserve">, recorded in the PD record (SRA-RTO-043) with what was learned and how it is used.</w:t>
      </w:r>
    </w:p>
    <w:p>
      <w:pPr>
        <w:pStyle w:val="ListParagraph"/>
        <w:numPr>
          <w:ilvl w:val="0"/>
          <w:numId w:val="2"/>
        </w:numPr>
        <w:spacing w:after="60" w:line="264"/>
      </w:pPr>
      <w:r>
        <w:rPr>
          <w:rFonts w:ascii="Aptos" w:cs="Aptos" w:eastAsia="Aptos" w:hAnsi="Aptos"/>
          <w:color w:val="1E2833"/>
          <w:sz w:val="20"/>
          <w:szCs w:val="20"/>
        </w:rPr>
        <w:t xml:space="preserve">Plans are reviewed every six months with the Academy Manager (or the Lead Trainer, for trainers he directs), and whenever a gap is found.</w:t>
      </w:r>
    </w:p>
    <w:p>
      <w:pPr>
        <w:pStyle w:val="ListParagraph"/>
        <w:numPr>
          <w:ilvl w:val="0"/>
          <w:numId w:val="2"/>
        </w:numPr>
        <w:spacing w:after="60" w:line="264"/>
      </w:pPr>
      <w:r>
        <w:rPr>
          <w:rFonts w:ascii="Aptos" w:cs="Aptos" w:eastAsia="Aptos" w:hAnsi="Aptos"/>
          <w:color w:val="1E2833"/>
          <w:sz w:val="20"/>
          <w:szCs w:val="20"/>
        </w:rPr>
        <w:t xml:space="preserve">Each activity is classified once, as VET PD or industry PD. A floor shift is industry PD; an LLN workshop is VET PD. An activity is never counted twice.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Currency activities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Activity</w:t>
            </w:r>
          </w:p>
        </w:tc>
        <w:tc>
          <w:tcPr>
            <w:tcW w:type="dxa" w:w="6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works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Rostered floor shifts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Paid time on a Perth DC shift doing the work in the units the trainer delivers, rostered with a shift supervisor or lead (for example Tom Bellamy on afternoons or Naomi Pereira on inbound and yard). The trainer follows the site rules (SRL-CR-043), wears the required PPE, tells the host when they arrive and leave, and keeps notes the host confirms.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Time with supervisors and leads</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Shadowing a lead on a task, a briefing from the person who owns a procedure, or a walk-through of a changed process.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Industry engagement sessions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Twice-yearly sessions with Perth DC operations and WHS (SRA-RTO-014).</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Procedure updates</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Reading and being briefed on new or changed SteelRiver procedures before teaching them, with the WHS Coordinator for WHS procedures.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Approval and funding</w:t>
      </w:r>
    </w:p>
    <w:p>
      <w:pPr>
        <w:pStyle w:val="ListParagraph"/>
        <w:numPr>
          <w:ilvl w:val="0"/>
          <w:numId w:val="2"/>
        </w:numPr>
        <w:spacing w:after="60" w:line="264"/>
      </w:pPr>
      <w:r>
        <w:rPr>
          <w:rFonts w:ascii="Aptos" w:cs="Aptos" w:eastAsia="Aptos" w:hAnsi="Aptos"/>
          <w:color w:val="1E2833"/>
          <w:sz w:val="20"/>
          <w:szCs w:val="20"/>
        </w:rPr>
        <w:t xml:space="preserve">Development follows SRL-CR-025 Learning and Development Policy and Staff Development Catalogue: activities are agreed with the manager before booking; any activity with a cost needs the written approval of the budget holder (for the Academy, Gemma Whitfield); development is in paid time when approved.</w:t>
      </w:r>
    </w:p>
    <w:p>
      <w:pPr>
        <w:pStyle w:val="ListParagraph"/>
        <w:numPr>
          <w:ilvl w:val="0"/>
          <w:numId w:val="2"/>
        </w:numPr>
        <w:spacing w:after="60" w:line="264"/>
      </w:pPr>
      <w:r>
        <w:rPr>
          <w:rFonts w:ascii="Aptos" w:cs="Aptos" w:eastAsia="Aptos" w:hAnsi="Aptos"/>
          <w:color w:val="1E2833"/>
          <w:sz w:val="20"/>
          <w:szCs w:val="20"/>
        </w:rPr>
        <w:t xml:space="preserve">Internal options from the staff development catalogue (coaching, mentoring, internal workshops, job shadowing) and free options are used before paid external options.</w:t>
      </w:r>
    </w:p>
    <w:p>
      <w:pPr>
        <w:pStyle w:val="ListParagraph"/>
        <w:numPr>
          <w:ilvl w:val="0"/>
          <w:numId w:val="2"/>
        </w:numPr>
        <w:spacing w:after="60" w:line="264"/>
      </w:pPr>
      <w:r>
        <w:rPr>
          <w:rFonts w:ascii="Aptos" w:cs="Aptos" w:eastAsia="Aptos" w:hAnsi="Aptos"/>
          <w:color w:val="1E2833"/>
          <w:sz w:val="20"/>
          <w:szCs w:val="20"/>
        </w:rPr>
        <w:t xml:space="preserve">The Academy L&amp;D budget is set each year ($9,000 for 2026) and is shared fairly across the trainer team according to need. Development opportunities are open to everyone on the same basis.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Validators</w:t>
      </w:r>
    </w:p>
    <w:p>
      <w:pPr>
        <w:pStyle w:val="ListParagraph"/>
        <w:numPr>
          <w:ilvl w:val="0"/>
          <w:numId w:val="2"/>
        </w:numPr>
        <w:spacing w:after="60" w:line="264"/>
      </w:pPr>
      <w:r>
        <w:rPr>
          <w:rFonts w:ascii="Aptos" w:cs="Aptos" w:eastAsia="Aptos" w:hAnsi="Aptos"/>
          <w:color w:val="1E2833"/>
          <w:sz w:val="20"/>
          <w:szCs w:val="20"/>
        </w:rPr>
        <w:t xml:space="preserve">Every validation panel collectively holds industry competencies for the product, a practical understanding of current industry practice and a Credential Policy 3A credential (Standard 1.5; SRA-RTO-004 section 4).</w:t>
      </w:r>
    </w:p>
    <w:p>
      <w:pPr>
        <w:pStyle w:val="ListParagraph"/>
        <w:numPr>
          <w:ilvl w:val="0"/>
          <w:numId w:val="2"/>
        </w:numPr>
        <w:spacing w:after="60" w:line="264"/>
      </w:pPr>
      <w:r>
        <w:rPr>
          <w:rFonts w:ascii="Aptos" w:cs="Aptos" w:eastAsia="Aptos" w:hAnsi="Aptos"/>
          <w:color w:val="1E2833"/>
          <w:sz w:val="20"/>
          <w:szCs w:val="20"/>
        </w:rPr>
        <w:t xml:space="preserve">Trainers working towards TAE40122 may be panel members but do not provide the 3A credential and do not lead.</w:t>
      </w:r>
    </w:p>
    <w:p>
      <w:pPr>
        <w:pStyle w:val="ListParagraph"/>
        <w:numPr>
          <w:ilvl w:val="0"/>
          <w:numId w:val="2"/>
        </w:numPr>
        <w:spacing w:after="60" w:line="264"/>
      </w:pPr>
      <w:r>
        <w:rPr>
          <w:rFonts w:ascii="Aptos" w:cs="Aptos" w:eastAsia="Aptos" w:hAnsi="Aptos"/>
          <w:color w:val="1E2833"/>
          <w:sz w:val="20"/>
          <w:szCs w:val="20"/>
        </w:rPr>
        <w:t xml:space="preserve">Panel members ask for feedback on their participation after each validation and record any development need in their PD plan (SRA-RTO-004 section 12).</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Appointment checks</w:t>
      </w:r>
    </w:p>
    <w:p>
      <w:pPr>
        <w:pStyle w:val="ListParagraph"/>
        <w:numPr>
          <w:ilvl w:val="0"/>
          <w:numId w:val="2"/>
        </w:numPr>
        <w:spacing w:after="60" w:line="264"/>
      </w:pPr>
      <w:r>
        <w:rPr>
          <w:rFonts w:ascii="Aptos" w:cs="Aptos" w:eastAsia="Aptos" w:hAnsi="Aptos"/>
          <w:color w:val="1E2833"/>
          <w:sz w:val="20"/>
          <w:szCs w:val="20"/>
        </w:rPr>
        <w:t xml:space="preserve">Credential sighted and verified; vocational competency and industry experience checked against the units the person will deliver (section 4).</w:t>
      </w:r>
    </w:p>
    <w:p>
      <w:pPr>
        <w:pStyle w:val="ListParagraph"/>
        <w:numPr>
          <w:ilvl w:val="0"/>
          <w:numId w:val="2"/>
        </w:numPr>
        <w:spacing w:after="60" w:line="264"/>
      </w:pPr>
      <w:r>
        <w:rPr>
          <w:rFonts w:ascii="Aptos" w:cs="Aptos" w:eastAsia="Aptos" w:hAnsi="Aptos"/>
          <w:color w:val="1E2833"/>
          <w:sz w:val="20"/>
          <w:szCs w:val="20"/>
        </w:rPr>
        <w:t xml:space="preserve">National Police Certificate on appointment; Working with Children Check before working with any learner under 18 (SRA-RTO-006 section 10).</w:t>
      </w:r>
    </w:p>
    <w:p>
      <w:pPr>
        <w:pStyle w:val="ListParagraph"/>
        <w:numPr>
          <w:ilvl w:val="0"/>
          <w:numId w:val="2"/>
        </w:numPr>
        <w:spacing w:after="60" w:line="264"/>
      </w:pPr>
      <w:r>
        <w:rPr>
          <w:rFonts w:ascii="Aptos" w:cs="Aptos" w:eastAsia="Aptos" w:hAnsi="Aptos"/>
          <w:color w:val="1E2833"/>
          <w:sz w:val="20"/>
          <w:szCs w:val="20"/>
        </w:rPr>
        <w:t xml:space="preserve">SteelRiver induction (SRL-CR-048) and an Academy induction with the Academy Manager, the Quality and Compliance Coordinator, the Lead Trainer and the LLN lead.</w:t>
      </w:r>
    </w:p>
    <w:p>
      <w:pPr>
        <w:pStyle w:val="ListParagraph"/>
        <w:numPr>
          <w:ilvl w:val="0"/>
          <w:numId w:val="2"/>
        </w:numPr>
        <w:spacing w:after="60" w:line="264"/>
      </w:pPr>
      <w:r>
        <w:rPr>
          <w:rFonts w:ascii="Aptos" w:cs="Aptos" w:eastAsia="Aptos" w:hAnsi="Aptos"/>
          <w:color w:val="1E2833"/>
          <w:sz w:val="20"/>
          <w:szCs w:val="20"/>
        </w:rPr>
        <w:t xml:space="preserve">SRA-RTO-041 updated before the person first delivers or assesses, including any direction arrangement.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Records and confidentiality</w:t>
      </w:r>
    </w:p>
    <w:p>
      <w:pPr>
        <w:pStyle w:val="ListParagraph"/>
        <w:numPr>
          <w:ilvl w:val="0"/>
          <w:numId w:val="2"/>
        </w:numPr>
        <w:spacing w:after="60" w:line="264"/>
      </w:pPr>
      <w:r>
        <w:rPr>
          <w:rFonts w:ascii="Aptos" w:cs="Aptos" w:eastAsia="Aptos" w:hAnsi="Aptos"/>
          <w:color w:val="1E2833"/>
          <w:sz w:val="20"/>
          <w:szCs w:val="20"/>
        </w:rPr>
        <w:t xml:space="preserve">Rohan Desai keeps the Trainer and Assessor Credentials Matrix (SRA-RTO-041): each person's credential and Credential Policy section, vocational competency per unit, industry currency evidence, PD in the last 12 months, status (without direction or under direction) and any gaps.</w:t>
      </w:r>
    </w:p>
    <w:p>
      <w:pPr>
        <w:pStyle w:val="ListParagraph"/>
        <w:numPr>
          <w:ilvl w:val="0"/>
          <w:numId w:val="2"/>
        </w:numPr>
        <w:spacing w:after="60" w:line="264"/>
      </w:pPr>
      <w:r>
        <w:rPr>
          <w:rFonts w:ascii="Aptos" w:cs="Aptos" w:eastAsia="Aptos" w:hAnsi="Aptos"/>
          <w:color w:val="1E2833"/>
          <w:sz w:val="20"/>
          <w:szCs w:val="20"/>
        </w:rPr>
        <w:t xml:space="preserve">PD activities and hours are recorded in SRA-RTO-043 within 10 business days of the activity. Credential and currency evidence goes to Rohan Desai within the same time.</w:t>
      </w:r>
    </w:p>
    <w:p>
      <w:pPr>
        <w:pStyle w:val="ListParagraph"/>
        <w:numPr>
          <w:ilvl w:val="0"/>
          <w:numId w:val="2"/>
        </w:numPr>
        <w:spacing w:after="60" w:line="264"/>
      </w:pPr>
      <w:r>
        <w:rPr>
          <w:rFonts w:ascii="Aptos" w:cs="Aptos" w:eastAsia="Aptos" w:hAnsi="Aptos"/>
          <w:color w:val="1E2833"/>
          <w:sz w:val="20"/>
          <w:szCs w:val="20"/>
        </w:rPr>
        <w:t xml:space="preserve">PD plans, review notes and development records are confidential to the employee, their manager, the Academy Manager and People and Culture, and are kept in each trainer's confidential development file under SRL-CR-018 and SRL-CR-019.</w:t>
      </w:r>
    </w:p>
    <w:p>
      <w:pPr>
        <w:pStyle w:val="ListParagraph"/>
        <w:numPr>
          <w:ilvl w:val="0"/>
          <w:numId w:val="2"/>
        </w:numPr>
        <w:spacing w:after="60" w:line="264"/>
      </w:pPr>
      <w:r>
        <w:rPr>
          <w:rFonts w:ascii="Aptos" w:cs="Aptos" w:eastAsia="Aptos" w:hAnsi="Aptos"/>
          <w:color w:val="1E2833"/>
          <w:sz w:val="20"/>
          <w:szCs w:val="20"/>
        </w:rPr>
        <w:t xml:space="preserve">Changes to how the Academy plans development go on the continuous improvement register (SRA-RTO-002). Trainer currency is a standing item at the Quality Committee.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agrees and reviews PD plans; approves PD spending; names directing assessors; decides whether a recorded gap is closed</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Keeps SRA-RTO-041; checks credentials and currency before each intake and on any change; reports trainer currency to the Quality Committee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Gives direction under 1E; keeps direction records; reviews PD plans for trainers he directs; arranges interim cover for a currency gap</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Trainers and assessors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 and assess only within their credentials and currency; keep a PD plan; complete at least 20 hours of PD a year; send evidence within 10 business days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People under direction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 within section 5; stay on track with their TAE40122 or skill set; raise questions with their directing assessor</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Shift supervisors and leads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Host floor shifts and confirm what the trainer did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Related documents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3 who may assess; section 13 tool developers' currency); SRA-RTO-004 Validation Policy and Procedure</w:t>
      </w:r>
    </w:p>
    <w:p>
      <w:pPr>
        <w:pStyle w:val="ListParagraph"/>
        <w:numPr>
          <w:ilvl w:val="0"/>
          <w:numId w:val="2"/>
        </w:numPr>
        <w:spacing w:after="60" w:line="264"/>
      </w:pPr>
      <w:r>
        <w:rPr>
          <w:rFonts w:ascii="Aptos" w:cs="Aptos" w:eastAsia="Aptos" w:hAnsi="Aptos"/>
          <w:color w:val="1E2833"/>
          <w:sz w:val="20"/>
          <w:szCs w:val="20"/>
        </w:rPr>
        <w:t xml:space="preserve">SRA-RTO-041 Trainer and Assessor Credentials Matrix; SRA-RTO-042 Position Description: Trainer and Assessor (TA-03); SRA-RTO-043 Professional Development Plan Template and PD Record Extract</w:t>
      </w:r>
    </w:p>
    <w:p>
      <w:pPr>
        <w:pStyle w:val="ListParagraph"/>
        <w:numPr>
          <w:ilvl w:val="0"/>
          <w:numId w:val="2"/>
        </w:numPr>
        <w:spacing w:after="60" w:line="264"/>
      </w:pPr>
      <w:r>
        <w:rPr>
          <w:rFonts w:ascii="Aptos" w:cs="Aptos" w:eastAsia="Aptos" w:hAnsi="Aptos"/>
          <w:color w:val="1E2833"/>
          <w:sz w:val="20"/>
          <w:szCs w:val="20"/>
        </w:rPr>
        <w:t xml:space="preserve">SRL-CR-025 Learning and Development Policy and Staff Development Catalogue; SRL-CR-043 Traffic Management Procedure and Plan, Perth DC; SRL-CR-048 Induction Procedure (employees, casuals, labour hire, contractors, visitors)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Standards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3552"/>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3.1: enough suitably skilled staff, with access to PD</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6 to 8</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3.2: credentials, and direction for people who do not yet hold a credential that allows them to work without it (3.2(2)(b))</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and 5</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3.3: vocational competency, current industry skills and current knowledge of training and assessment</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6 and 7</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Policy 1A, 1C, 1D, 1E and 3A</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5 and 9</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and the Credential Policy (10 December 2025): credential sections 1A, 1C, 1D, 1E and 3A; direction rules (section 5); vocational competency and industry currency evidence under Standard 3.3; minimum of 20 hours of VET and industry PD a year; records in SRA-RTO-041 and SRA-RTO-043.</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SRA-RTO-009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SRA-RTO-009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SRA-RTO-009  ·  Trainer and Assessor Credentials, Currency and Professional Development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SRA-RTO-009 Trainer and Assessor Credentials, Currency and Professional Development Policy</dc:title>
  <dc:creator>SteelRiver Logistics Pty Ltd trading as SteelRiver Academy</dc:creator>
  <cp:lastModifiedBy>Un-named</cp:lastModifiedBy>
  <cp:revision>1</cp:revision>
  <dcterms:created xsi:type="dcterms:W3CDTF">2026-11-01T14:49:45.857Z</dcterms:created>
  <dcterms:modified xsi:type="dcterms:W3CDTF">2026-11-01T14:49:45.857Z</dcterms:modified>
</cp:coreProperties>
</file>

<file path=docProps/custom.xml><?xml version="1.0" encoding="utf-8"?>
<Properties xmlns="http://schemas.openxmlformats.org/officeDocument/2006/custom-properties" xmlns:vt="http://schemas.openxmlformats.org/officeDocument/2006/docPropsVTypes"/>
</file>