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6152"/>
        <w:gridCol w:w="3600"/>
      </w:tblGrid>
      <w:tr>
        <w:tc>
          <w:tcPr>
            <w:tcW w:type="dxa" w:w="6152"/>
            <w:tcBorders>
              <w:top w:val="none" w:color="FFFFFF" w:sz="0"/>
              <w:left w:val="none" w:color="FFFFFF" w:sz="0"/>
              <w:bottom w:val="none" w:color="FFFFFF" w:sz="0"/>
              <w:right w:val="none" w:color="FFFFFF" w:sz="0"/>
            </w:tcBorders>
            <w:vAlign w:val="center"/>
          </w:tcPr>
          <w:p>
            <w:pPr>
              <w:spacing w:after="0"/>
            </w:pPr>
            <w:r>
              <w:rPr>
                <w:rFonts w:ascii="Aptos Display" w:cs="Aptos Display" w:eastAsia="Aptos Display" w:hAnsi="Aptos Display"/>
                <w:b/>
                <w:bCs/>
                <w:color w:val="0E4D4F"/>
                <w:sz w:val="40"/>
                <w:szCs w:val="40"/>
              </w:rPr>
              <w:t xml:space="preserve">SteelRiver</w:t>
            </w:r>
            <w:r>
              <w:rPr>
                <w:rFonts w:ascii="Aptos Display" w:cs="Aptos Display" w:eastAsia="Aptos Display" w:hAnsi="Aptos Display"/>
                <w:color w:val="C8742A"/>
                <w:sz w:val="40"/>
                <w:szCs w:val="40"/>
              </w:rPr>
              <w:t xml:space="preserve"> Academy</w:t>
            </w:r>
          </w:p>
          <w:p>
            <w:pPr>
              <w:spacing w:after="0"/>
            </w:pPr>
            <w:r>
              <w:rPr>
                <w:rFonts w:ascii="Aptos" w:cs="Aptos" w:eastAsia="Aptos" w:hAnsi="Aptos"/>
                <w:color w:val="4F7F80"/>
                <w:sz w:val="15"/>
                <w:szCs w:val="15"/>
              </w:rPr>
              <w:t xml:space="preserve">RTO 99999 (simulated)  ·  Safe, skilled and supported from day one</w:t>
            </w:r>
          </w:p>
        </w:tc>
        <w:tc>
          <w:tcPr>
            <w:tcW w:type="dxa" w:w="3600"/>
            <w:tcBorders>
              <w:top w:val="none" w:color="FFFFFF" w:sz="0"/>
              <w:left w:val="none" w:color="FFFFFF" w:sz="0"/>
              <w:bottom w:val="none" w:color="FFFFFF" w:sz="0"/>
              <w:right w:val="none" w:color="FFFFFF" w:sz="0"/>
            </w:tcBorders>
            <w:vAlign w:val="center"/>
          </w:tcPr>
          <w:p>
            <w:pPr>
              <w:spacing w:after="20"/>
              <w:jc w:val="right"/>
            </w:pPr>
            <w:r>
              <w:rPr>
                <w:rFonts w:ascii="Aptos" w:cs="Aptos" w:eastAsia="Aptos" w:hAnsi="Aptos"/>
                <w:b/>
                <w:bCs/>
                <w:color w:val="4F7F80"/>
                <w:spacing w:val="40"/>
                <w:sz w:val="17"/>
                <w:szCs w:val="17"/>
              </w:rPr>
              <w:t xml:space="preserve">TRAINING AND ASSESSMENT STRATEGY</w:t>
            </w:r>
          </w:p>
          <w:p>
            <w:pPr>
              <w:spacing w:after="0"/>
              <w:jc w:val="right"/>
            </w:pPr>
            <w:r>
              <w:rPr>
                <w:rFonts w:ascii="Aptos Display" w:cs="Aptos Display" w:eastAsia="Aptos Display" w:hAnsi="Aptos Display"/>
                <w:b/>
                <w:bCs/>
                <w:color w:val="0E4D4F"/>
                <w:sz w:val="36"/>
                <w:szCs w:val="36"/>
              </w:rPr>
              <w:t xml:space="preserve">SRA-RTO-011</w:t>
            </w:r>
          </w:p>
        </w:tc>
      </w:tr>
    </w:tbl>
    <w:p>
      <w:pPr>
        <w:pBdr>
          <w:top w:val="single" w:color="0E4D4F" w:sz="18" w:space="14"/>
        </w:pBdr>
        <w:spacing w:before="200" w:after="80"/>
      </w:pPr>
      <w:r>
        <w:rPr>
          <w:rFonts w:ascii="Aptos Display" w:cs="Aptos Display" w:eastAsia="Aptos Display" w:hAnsi="Aptos Display"/>
          <w:b/>
          <w:bCs/>
          <w:color w:val="0E4D4F"/>
          <w:sz w:val="52"/>
          <w:szCs w:val="52"/>
        </w:rPr>
        <w:t xml:space="preserve">Training and Assessment Strategy: TLI30325 Certificate III in Supply Chain Operations (Warehousing Operations)</w:t>
      </w:r>
    </w:p>
    <w:p>
      <w:pPr>
        <w:spacing w:before="0" w:after="160" w:line="276"/>
      </w:pPr>
      <w:r>
        <w:rPr>
          <w:rFonts w:ascii="Aptos" w:cs="Aptos" w:eastAsia="Aptos" w:hAnsi="Aptos"/>
          <w:color w:val="4F7F80"/>
          <w:sz w:val="24"/>
          <w:szCs w:val="24"/>
        </w:rPr>
        <w:t xml:space="preserve">The Academy's strategy for TLI30325 delivered through the Warehouse Skills Program, from Intake 2026-01</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438"/>
        <w:gridCol w:w="2438"/>
        <w:gridCol w:w="2438"/>
        <w:gridCol w:w="2438"/>
      </w:tblGrid>
      <w:tr>
        <w:tc>
          <w:tcPr>
            <w:tcW w:type="dxa" w:w="2438"/>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17"/>
                <w:szCs w:val="17"/>
              </w:rPr>
              <w:t xml:space="preserve">Document number</w:t>
            </w:r>
          </w:p>
        </w:tc>
        <w:tc>
          <w:tcPr>
            <w:tcW w:type="dxa" w:w="2438"/>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SRA-RTO-011</w:t>
            </w:r>
          </w:p>
        </w:tc>
        <w:tc>
          <w:tcPr>
            <w:tcW w:type="dxa" w:w="2438"/>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17"/>
                <w:szCs w:val="17"/>
              </w:rPr>
              <w:t xml:space="preserve">Version</w:t>
            </w:r>
          </w:p>
        </w:tc>
        <w:tc>
          <w:tcPr>
            <w:tcW w:type="dxa" w:w="2438"/>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3.0</w:t>
            </w:r>
          </w:p>
        </w:tc>
      </w:tr>
      <w:tr>
        <w:tc>
          <w:tcPr>
            <w:tcW w:type="dxa" w:w="2438"/>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17"/>
                <w:szCs w:val="17"/>
              </w:rPr>
              <w:t xml:space="preserve">Document owner</w:t>
            </w:r>
          </w:p>
        </w:tc>
        <w:tc>
          <w:tcPr>
            <w:tcW w:type="dxa" w:w="2438"/>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Craig Moretti, Lead Trainer and Assessor</w:t>
            </w:r>
          </w:p>
        </w:tc>
        <w:tc>
          <w:tcPr>
            <w:tcW w:type="dxa" w:w="2438"/>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17"/>
                <w:szCs w:val="17"/>
              </w:rPr>
              <w:t xml:space="preserve">Effective date</w:t>
            </w:r>
          </w:p>
        </w:tc>
        <w:tc>
          <w:tcPr>
            <w:tcW w:type="dxa" w:w="2438"/>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Monday 2 February 2026 (sections 6 and 7 updated Tuesday 10 February 2026)</w:t>
            </w:r>
          </w:p>
        </w:tc>
      </w:tr>
      <w:tr>
        <w:tc>
          <w:tcPr>
            <w:tcW w:type="dxa" w:w="2438"/>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17"/>
                <w:szCs w:val="17"/>
              </w:rPr>
              <w:t xml:space="preserve">Approved by</w:t>
            </w:r>
          </w:p>
        </w:tc>
        <w:tc>
          <w:tcPr>
            <w:tcW w:type="dxa" w:w="2438"/>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Gemma Whitfield, Academy Manager, Monday 2 February 2026</w:t>
            </w:r>
          </w:p>
        </w:tc>
        <w:tc>
          <w:tcPr>
            <w:tcW w:type="dxa" w:w="2438"/>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17"/>
                <w:szCs w:val="17"/>
              </w:rPr>
              <w:t xml:space="preserve">Next review</w:t>
            </w:r>
          </w:p>
        </w:tc>
        <w:tc>
          <w:tcPr>
            <w:tcW w:type="dxa" w:w="2438"/>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February 2027, or sooner (section 14)</w:t>
            </w:r>
          </w:p>
        </w:tc>
      </w:tr>
      <w:tr>
        <w:tc>
          <w:tcPr>
            <w:tcW w:type="dxa" w:w="2438"/>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17"/>
                <w:szCs w:val="17"/>
              </w:rPr>
              <w:t xml:space="preserve">Applies to</w:t>
            </w:r>
          </w:p>
        </w:tc>
        <w:tc>
          <w:tcPr>
            <w:tcW w:type="dxa" w:w="2438"/>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Academy trainers and assessors, Student Services, People and Culture, Perth DC supervisors and leads</w:t>
            </w:r>
          </w:p>
        </w:tc>
        <w:tc>
          <w:tcPr>
            <w:tcW w:type="dxa" w:w="2438"/>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17"/>
                <w:szCs w:val="17"/>
              </w:rPr>
              <w:t xml:space="preserve">Status</w:t>
            </w:r>
          </w:p>
        </w:tc>
        <w:tc>
          <w:tcPr>
            <w:tcW w:type="dxa" w:w="2438"/>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Controlled. Uncontrolled when printed</w:t>
            </w:r>
          </w:p>
        </w:tc>
      </w:tr>
    </w:tbl>
    <w:p>
      <w:pPr>
        <w:spacing w:after="200"/>
      </w:pPr>
    </w:p>
    <w:p>
      <w:pPr>
        <w:spacing w:before="0" w:after="120" w:line="276"/>
      </w:pPr>
      <w:r>
        <w:rPr>
          <w:rFonts w:ascii="Aptos" w:cs="Aptos" w:eastAsia="Aptos" w:hAnsi="Aptos"/>
          <w:color w:val="1E2833"/>
          <w:sz w:val="20"/>
          <w:szCs w:val="20"/>
        </w:rPr>
        <w:t xml:space="preserve">This strategy sets out how SteelRiver Academy delivers and assesses TLI30325 so that training is consistent with the requirements of the training product (Standard 1.1), reflects current industry practice (Standard 1.2) and uses safe and sufficient facilities and resources (Standard 1.8). Every delivery plan, session plan and assessment tool for TLI30325 must fit within it.</w:t>
      </w:r>
    </w:p>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1. Qualification</w:t>
      </w:r>
    </w:p>
    <w:p>
      <w:pPr>
        <w:spacing w:before="0" w:after="120" w:line="276"/>
      </w:pPr>
      <w:r>
        <w:rPr>
          <w:rFonts w:ascii="Aptos" w:cs="Aptos" w:eastAsia="Aptos" w:hAnsi="Aptos"/>
          <w:color w:val="1E2833"/>
          <w:sz w:val="20"/>
          <w:szCs w:val="20"/>
        </w:rPr>
        <w:t xml:space="preserve">TLI30325 Certificate III in Supply Chain Operations, Release 1 (29 May 2025), Warehousing Operations specialisation. 14 units: 2 core, 4 Group B (TLIA0004, TLIA0010, TLIA0015, TLIX0013X), 8 Group D including the TLIA0022 import. No entry requirements. About 460 hours of structured training over 12 months (the WA nominal hours of the 14 units chosen).</w:t>
      </w:r>
    </w:p>
    <w:p>
      <w:pPr>
        <w:pStyle w:val="ListParagraph"/>
        <w:numPr>
          <w:ilvl w:val="0"/>
          <w:numId w:val="2"/>
        </w:numPr>
        <w:spacing w:after="60" w:line="264"/>
      </w:pPr>
      <w:r>
        <w:rPr>
          <w:rFonts w:ascii="Aptos" w:cs="Aptos" w:eastAsia="Aptos" w:hAnsi="Aptos"/>
          <w:color w:val="1E2833"/>
          <w:sz w:val="20"/>
          <w:szCs w:val="20"/>
        </w:rPr>
        <w:t xml:space="preserve">Delivered through the employer-funded Warehouse Skills Program. Learners are SteelRiver employees or casuals enrolled directly with the Academy; there is no training contract and no fee to learners.</w:t>
      </w:r>
    </w:p>
    <w:p>
      <w:pPr>
        <w:pStyle w:val="ListParagraph"/>
        <w:numPr>
          <w:ilvl w:val="0"/>
          <w:numId w:val="2"/>
        </w:numPr>
        <w:spacing w:after="60" w:line="264"/>
      </w:pPr>
      <w:r>
        <w:rPr>
          <w:rFonts w:ascii="Aptos" w:cs="Aptos" w:eastAsia="Aptos" w:hAnsi="Aptos"/>
          <w:color w:val="1E2833"/>
          <w:sz w:val="20"/>
          <w:szCs w:val="20"/>
        </w:rPr>
        <w:t xml:space="preserve">Units from TLI30325 may be delivered as single units, with a Statement of Attainment (section 2.3).</w:t>
      </w:r>
    </w:p>
    <w:p>
      <w:pPr>
        <w:pStyle w:val="ListParagraph"/>
        <w:numPr>
          <w:ilvl w:val="0"/>
          <w:numId w:val="2"/>
        </w:numPr>
        <w:spacing w:after="60" w:line="264"/>
      </w:pPr>
      <w:r>
        <w:rPr>
          <w:rFonts w:ascii="Aptos" w:cs="Aptos" w:eastAsia="Aptos" w:hAnsi="Aptos"/>
          <w:color w:val="1E2833"/>
          <w:sz w:val="20"/>
          <w:szCs w:val="20"/>
        </w:rPr>
        <w:t xml:space="preserve">Packaging rule (training.gov.au, TLI30325 Release 1, specialisation pathway): 2 core units, plus 4 units from one specialist elective group, plus 8 general elective units from Group D, of which up to 3 may be imported from any relevant nationally endorsed Training Package. Each unit counts once, even where it appears in Group B and Group D.</w:t>
      </w:r>
    </w:p>
    <w:p>
      <w:pPr>
        <w:keepNext/>
        <w:spacing w:before="200" w:after="80"/>
      </w:pPr>
      <w:r>
        <w:rPr>
          <w:rFonts w:ascii="Aptos Display" w:cs="Aptos Display" w:eastAsia="Aptos Display" w:hAnsi="Aptos Display"/>
          <w:b/>
          <w:bCs/>
          <w:color w:val="4F7F80"/>
          <w:sz w:val="24"/>
          <w:szCs w:val="24"/>
        </w:rPr>
        <w:t xml:space="preserve">1.1 Units in the program</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1300"/>
        <w:gridCol w:w="4700"/>
        <w:gridCol w:w="1452"/>
      </w:tblGrid>
      <w:tr>
        <w:trPr>
          <w:cantSplit/>
          <w:tblHeader/>
        </w:trPr>
        <w:tc>
          <w:tcPr>
            <w:tcW w:type="dxa" w:w="23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Group</w:t>
            </w:r>
          </w:p>
        </w:tc>
        <w:tc>
          <w:tcPr>
            <w:tcW w:type="dxa" w:w="13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Code</w:t>
            </w:r>
          </w:p>
        </w:tc>
        <w:tc>
          <w:tcPr>
            <w:tcW w:type="dxa" w:w="47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Title</w:t>
            </w:r>
          </w:p>
        </w:tc>
        <w:tc>
          <w:tcPr>
            <w:tcW w:type="dxa" w:w="1452"/>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Term</w:t>
            </w:r>
          </w:p>
        </w:tc>
      </w:tr>
      <w:tr>
        <w:trPr>
          <w:cantSplit/>
        </w:trPr>
        <w:tc>
          <w:tcPr>
            <w:tcW w:type="dxa" w:w="2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Core</w:t>
            </w:r>
          </w:p>
        </w:tc>
        <w:tc>
          <w:tcPr>
            <w:tcW w:type="dxa" w:w="1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TLID0020</w:t>
            </w:r>
          </w:p>
        </w:tc>
        <w:tc>
          <w:tcPr>
            <w:tcW w:type="dxa" w:w="4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Shift materials safely using manual handling methods</w:t>
            </w:r>
          </w:p>
        </w:tc>
        <w:tc>
          <w:tcPr>
            <w:tcW w:type="dxa" w:w="14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Term 1</w:t>
            </w:r>
          </w:p>
        </w:tc>
      </w:tr>
      <w:tr>
        <w:trPr>
          <w:cantSplit/>
        </w:trPr>
        <w:tc>
          <w:tcPr>
            <w:tcW w:type="dxa" w:w="2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Core</w:t>
            </w:r>
          </w:p>
        </w:tc>
        <w:tc>
          <w:tcPr>
            <w:tcW w:type="dxa" w:w="1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TLIF0009</w:t>
            </w:r>
          </w:p>
        </w:tc>
        <w:tc>
          <w:tcPr>
            <w:tcW w:type="dxa" w:w="47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Ensure the safety of transport activities (Chain of Responsibility)</w:t>
            </w:r>
          </w:p>
        </w:tc>
        <w:tc>
          <w:tcPr>
            <w:tcW w:type="dxa" w:w="14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Term 4</w:t>
            </w:r>
          </w:p>
        </w:tc>
      </w:tr>
      <w:tr>
        <w:trPr>
          <w:cantSplit/>
        </w:trPr>
        <w:tc>
          <w:tcPr>
            <w:tcW w:type="dxa" w:w="2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Group B Warehousing Operations</w:t>
            </w:r>
          </w:p>
        </w:tc>
        <w:tc>
          <w:tcPr>
            <w:tcW w:type="dxa" w:w="1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TLIA0004</w:t>
            </w:r>
          </w:p>
        </w:tc>
        <w:tc>
          <w:tcPr>
            <w:tcW w:type="dxa" w:w="4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Complete receival and despatch documentation</w:t>
            </w:r>
          </w:p>
        </w:tc>
        <w:tc>
          <w:tcPr>
            <w:tcW w:type="dxa" w:w="14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Term 3</w:t>
            </w:r>
          </w:p>
        </w:tc>
      </w:tr>
      <w:tr>
        <w:trPr>
          <w:cantSplit/>
        </w:trPr>
        <w:tc>
          <w:tcPr>
            <w:tcW w:type="dxa" w:w="2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Group B Warehousing Operations</w:t>
            </w:r>
          </w:p>
        </w:tc>
        <w:tc>
          <w:tcPr>
            <w:tcW w:type="dxa" w:w="1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TLIA0010</w:t>
            </w:r>
          </w:p>
        </w:tc>
        <w:tc>
          <w:tcPr>
            <w:tcW w:type="dxa" w:w="47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Identify goods and store to specifications</w:t>
            </w:r>
          </w:p>
        </w:tc>
        <w:tc>
          <w:tcPr>
            <w:tcW w:type="dxa" w:w="14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Term 2</w:t>
            </w:r>
          </w:p>
        </w:tc>
      </w:tr>
      <w:tr>
        <w:trPr>
          <w:cantSplit/>
        </w:trPr>
        <w:tc>
          <w:tcPr>
            <w:tcW w:type="dxa" w:w="2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Group B Warehousing Operations</w:t>
            </w:r>
          </w:p>
        </w:tc>
        <w:tc>
          <w:tcPr>
            <w:tcW w:type="dxa" w:w="1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TLIA0015</w:t>
            </w:r>
          </w:p>
        </w:tc>
        <w:tc>
          <w:tcPr>
            <w:tcW w:type="dxa" w:w="4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Organise receival and despatch operations</w:t>
            </w:r>
          </w:p>
        </w:tc>
        <w:tc>
          <w:tcPr>
            <w:tcW w:type="dxa" w:w="14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Term 3</w:t>
            </w:r>
          </w:p>
        </w:tc>
      </w:tr>
      <w:tr>
        <w:trPr>
          <w:cantSplit/>
        </w:trPr>
        <w:tc>
          <w:tcPr>
            <w:tcW w:type="dxa" w:w="2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Group B Warehousing Operations</w:t>
            </w:r>
          </w:p>
        </w:tc>
        <w:tc>
          <w:tcPr>
            <w:tcW w:type="dxa" w:w="1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TLIX0013X</w:t>
            </w:r>
          </w:p>
        </w:tc>
        <w:tc>
          <w:tcPr>
            <w:tcW w:type="dxa" w:w="47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Maintain stock control and receivals</w:t>
            </w:r>
          </w:p>
        </w:tc>
        <w:tc>
          <w:tcPr>
            <w:tcW w:type="dxa" w:w="14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Term 3</w:t>
            </w:r>
          </w:p>
        </w:tc>
      </w:tr>
      <w:tr>
        <w:trPr>
          <w:cantSplit/>
        </w:trPr>
        <w:tc>
          <w:tcPr>
            <w:tcW w:type="dxa" w:w="2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Group D</w:t>
            </w:r>
          </w:p>
        </w:tc>
        <w:tc>
          <w:tcPr>
            <w:tcW w:type="dxa" w:w="1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TLIF3003</w:t>
            </w:r>
          </w:p>
        </w:tc>
        <w:tc>
          <w:tcPr>
            <w:tcW w:type="dxa" w:w="4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Implement and monitor work health and safety procedures</w:t>
            </w:r>
          </w:p>
        </w:tc>
        <w:tc>
          <w:tcPr>
            <w:tcW w:type="dxa" w:w="14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Term 1</w:t>
            </w:r>
          </w:p>
        </w:tc>
      </w:tr>
      <w:tr>
        <w:trPr>
          <w:cantSplit/>
        </w:trPr>
        <w:tc>
          <w:tcPr>
            <w:tcW w:type="dxa" w:w="2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Group D</w:t>
            </w:r>
          </w:p>
        </w:tc>
        <w:tc>
          <w:tcPr>
            <w:tcW w:type="dxa" w:w="1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TLIL0007</w:t>
            </w:r>
          </w:p>
        </w:tc>
        <w:tc>
          <w:tcPr>
            <w:tcW w:type="dxa" w:w="47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Complete workplace induction procedures</w:t>
            </w:r>
          </w:p>
        </w:tc>
        <w:tc>
          <w:tcPr>
            <w:tcW w:type="dxa" w:w="14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Term 1</w:t>
            </w:r>
          </w:p>
        </w:tc>
      </w:tr>
      <w:tr>
        <w:trPr>
          <w:cantSplit/>
        </w:trPr>
        <w:tc>
          <w:tcPr>
            <w:tcW w:type="dxa" w:w="2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Group D</w:t>
            </w:r>
          </w:p>
        </w:tc>
        <w:tc>
          <w:tcPr>
            <w:tcW w:type="dxa" w:w="1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TLIK2010</w:t>
            </w:r>
          </w:p>
        </w:tc>
        <w:tc>
          <w:tcPr>
            <w:tcW w:type="dxa" w:w="4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Use infotechnology devices in the workplace</w:t>
            </w:r>
          </w:p>
        </w:tc>
        <w:tc>
          <w:tcPr>
            <w:tcW w:type="dxa" w:w="14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Term 1</w:t>
            </w:r>
          </w:p>
        </w:tc>
      </w:tr>
      <w:tr>
        <w:trPr>
          <w:cantSplit/>
        </w:trPr>
        <w:tc>
          <w:tcPr>
            <w:tcW w:type="dxa" w:w="2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Group D</w:t>
            </w:r>
          </w:p>
        </w:tc>
        <w:tc>
          <w:tcPr>
            <w:tcW w:type="dxa" w:w="1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TLIE2007</w:t>
            </w:r>
          </w:p>
        </w:tc>
        <w:tc>
          <w:tcPr>
            <w:tcW w:type="dxa" w:w="47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Use communications systems</w:t>
            </w:r>
          </w:p>
        </w:tc>
        <w:tc>
          <w:tcPr>
            <w:tcW w:type="dxa" w:w="14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Term 1</w:t>
            </w:r>
          </w:p>
        </w:tc>
      </w:tr>
      <w:tr>
        <w:trPr>
          <w:cantSplit/>
        </w:trPr>
        <w:tc>
          <w:tcPr>
            <w:tcW w:type="dxa" w:w="2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Group D</w:t>
            </w:r>
          </w:p>
        </w:tc>
        <w:tc>
          <w:tcPr>
            <w:tcW w:type="dxa" w:w="1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TLIA0008</w:t>
            </w:r>
          </w:p>
        </w:tc>
        <w:tc>
          <w:tcPr>
            <w:tcW w:type="dxa" w:w="4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Coordinate stocktakes</w:t>
            </w:r>
          </w:p>
        </w:tc>
        <w:tc>
          <w:tcPr>
            <w:tcW w:type="dxa" w:w="14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Term 3</w:t>
            </w:r>
          </w:p>
        </w:tc>
      </w:tr>
      <w:tr>
        <w:trPr>
          <w:cantSplit/>
        </w:trPr>
        <w:tc>
          <w:tcPr>
            <w:tcW w:type="dxa" w:w="2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Group D</w:t>
            </w:r>
          </w:p>
        </w:tc>
        <w:tc>
          <w:tcPr>
            <w:tcW w:type="dxa" w:w="1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TLIJ0003</w:t>
            </w:r>
          </w:p>
        </w:tc>
        <w:tc>
          <w:tcPr>
            <w:tcW w:type="dxa" w:w="47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Apply quality systems</w:t>
            </w:r>
          </w:p>
        </w:tc>
        <w:tc>
          <w:tcPr>
            <w:tcW w:type="dxa" w:w="14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Term 4</w:t>
            </w:r>
          </w:p>
        </w:tc>
      </w:tr>
      <w:tr>
        <w:trPr>
          <w:cantSplit/>
        </w:trPr>
        <w:tc>
          <w:tcPr>
            <w:tcW w:type="dxa" w:w="2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Group D</w:t>
            </w:r>
          </w:p>
        </w:tc>
        <w:tc>
          <w:tcPr>
            <w:tcW w:type="dxa" w:w="1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TLIO0003</w:t>
            </w:r>
          </w:p>
        </w:tc>
        <w:tc>
          <w:tcPr>
            <w:tcW w:type="dxa" w:w="4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Follow security procedures when working with goods and cargo</w:t>
            </w:r>
          </w:p>
        </w:tc>
        <w:tc>
          <w:tcPr>
            <w:tcW w:type="dxa" w:w="14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Term 2</w:t>
            </w:r>
          </w:p>
        </w:tc>
      </w:tr>
      <w:tr>
        <w:trPr>
          <w:cantSplit/>
        </w:trPr>
        <w:tc>
          <w:tcPr>
            <w:tcW w:type="dxa" w:w="2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Group D (imported)</w:t>
            </w:r>
          </w:p>
        </w:tc>
        <w:tc>
          <w:tcPr>
            <w:tcW w:type="dxa" w:w="1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TLIA0022</w:t>
            </w:r>
          </w:p>
        </w:tc>
        <w:tc>
          <w:tcPr>
            <w:tcW w:type="dxa" w:w="47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Pick and process orders (from TLI20421 Certificate II in Supply Chain Operations)</w:t>
            </w:r>
          </w:p>
        </w:tc>
        <w:tc>
          <w:tcPr>
            <w:tcW w:type="dxa" w:w="14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Term 2</w:t>
            </w:r>
          </w:p>
        </w:tc>
      </w:tr>
      <w:tr>
        <w:trPr>
          <w:cantSplit/>
        </w:trPr>
        <w:tc>
          <w:tcPr>
            <w:tcW w:type="dxa" w:w="2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Total</w:t>
            </w:r>
          </w:p>
        </w:tc>
        <w:tc>
          <w:tcPr>
            <w:tcW w:type="dxa" w:w="1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4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14 units: 2 core, 4 Group B, 8 Group D (1 imported)</w:t>
            </w:r>
          </w:p>
        </w:tc>
        <w:tc>
          <w:tcPr>
            <w:tcW w:type="dxa" w:w="14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bl>
    <w:p>
      <w:pPr>
        <w:spacing w:before="120" w:after="120" w:line="276"/>
      </w:pPr>
      <w:r>
        <w:rPr>
          <w:rFonts w:ascii="Aptos" w:cs="Aptos" w:eastAsia="Aptos" w:hAnsi="Aptos"/>
          <w:color w:val="1E2833"/>
          <w:sz w:val="20"/>
          <w:szCs w:val="20"/>
        </w:rPr>
        <w:t xml:space="preserve">All 14 units are current, with no prerequisites. HLTAID011 Provide First Aid is not in the program: the Academy does not deliver first aid, and SteelRiver first aiders are trained by an external provider.</w:t>
      </w:r>
    </w:p>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2. Learner cohorts</w:t>
      </w:r>
    </w:p>
    <w:p>
      <w:pPr>
        <w:keepNext/>
        <w:spacing w:before="200" w:after="80"/>
      </w:pPr>
      <w:r>
        <w:rPr>
          <w:rFonts w:ascii="Aptos Display" w:cs="Aptos Display" w:eastAsia="Aptos Display" w:hAnsi="Aptos Display"/>
          <w:b/>
          <w:bCs/>
          <w:color w:val="4F7F80"/>
          <w:sz w:val="24"/>
          <w:szCs w:val="24"/>
        </w:rPr>
        <w:t xml:space="preserve">2.1 Intake 2026-01 (new-starter learners)</w:t>
      </w:r>
    </w:p>
    <w:p>
      <w:pPr>
        <w:spacing w:before="0" w:after="120" w:line="276"/>
      </w:pPr>
      <w:r>
        <w:rPr>
          <w:rFonts w:ascii="Aptos" w:cs="Aptos" w:eastAsia="Aptos" w:hAnsi="Aptos"/>
          <w:color w:val="1E2833"/>
          <w:sz w:val="20"/>
          <w:szCs w:val="20"/>
        </w:rPr>
        <w:t xml:space="preserve">Intake 2026-01: 7 permanent pickers and warehouse operators starting Monday 2 March 2026 on all four shifts. Pre-training reviews (SRA-RTO-007): suitability check before enrolment on Tuesday 3 March; LLN and digital review in the induction week, 2 to 5 March. Purpose: safe, skilled work from the first weeks on the floor and a nationally recognised qualification.</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600"/>
        <w:gridCol w:w="7152"/>
      </w:tblGrid>
      <w:tr>
        <w:trPr>
          <w:cantSplit/>
          <w:tblHeader/>
        </w:trPr>
        <w:tc>
          <w:tcPr>
            <w:tcW w:type="dxa" w:w="26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Characteristic</w:t>
            </w:r>
          </w:p>
        </w:tc>
        <w:tc>
          <w:tcPr>
            <w:tcW w:type="dxa" w:w="7152"/>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What it means for delivery and assessment</w:t>
            </w:r>
          </w:p>
        </w:tc>
      </w:tr>
      <w:tr>
        <w:trPr>
          <w:cantSplit/>
        </w:trPr>
        <w:tc>
          <w:tcPr>
            <w:tcW w:type="dxa" w:w="26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Shifts</w:t>
            </w:r>
          </w:p>
        </w:tc>
        <w:tc>
          <w:tcPr>
            <w:tcW w:type="dxa" w:w="7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Three morning, two afternoon, one overnight and one weekend learner. Group sessions suit the morning and afternoon learners; the overnight and weekend learners get individual or weekend sessions with the same content.</w:t>
            </w:r>
          </w:p>
        </w:tc>
      </w:tr>
      <w:tr>
        <w:trPr>
          <w:cantSplit/>
        </w:trPr>
        <w:tc>
          <w:tcPr>
            <w:tcW w:type="dxa" w:w="26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Language and literacy</w:t>
            </w:r>
          </w:p>
        </w:tc>
        <w:tc>
          <w:tcPr>
            <w:tcW w:type="dxa" w:w="71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Four learners speak Punjabi, Dari or Arabic as their first language with limited English; one has limited formal schooling. Picture-supported resources, oral questioning, buddies and interpreters (section 10).</w:t>
            </w:r>
          </w:p>
        </w:tc>
      </w:tr>
      <w:tr>
        <w:trPr>
          <w:cantSplit/>
        </w:trPr>
        <w:tc>
          <w:tcPr>
            <w:tcW w:type="dxa" w:w="26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Experience</w:t>
            </w:r>
          </w:p>
        </w:tc>
        <w:tc>
          <w:tcPr>
            <w:tcW w:type="dxa" w:w="7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From none to 10 years of warehouse work overseas. Pre-training reviews identify prior learning and RPL candidates.</w:t>
            </w:r>
          </w:p>
        </w:tc>
      </w:tr>
      <w:tr>
        <w:trPr>
          <w:cantSplit/>
        </w:trPr>
        <w:tc>
          <w:tcPr>
            <w:tcW w:type="dxa" w:w="26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Support needs</w:t>
            </w:r>
          </w:p>
        </w:tc>
        <w:tc>
          <w:tcPr>
            <w:tcW w:type="dxa" w:w="71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Identified at the pre-training review and recorded in LLN support plans and any reasonable adjustment (SRA-RTO-006).</w:t>
            </w:r>
          </w:p>
        </w:tc>
      </w:tr>
    </w:tbl>
    <w:p>
      <w:pPr>
        <w:keepNext/>
        <w:spacing w:before="200" w:after="80"/>
      </w:pPr>
      <w:r>
        <w:rPr>
          <w:rFonts w:ascii="Aptos Display" w:cs="Aptos Display" w:eastAsia="Aptos Display" w:hAnsi="Aptos Display"/>
          <w:b/>
          <w:bCs/>
          <w:color w:val="4F7F80"/>
          <w:sz w:val="24"/>
          <w:szCs w:val="24"/>
        </w:rPr>
        <w:t xml:space="preserve">2.2 Existing workers</w:t>
      </w:r>
    </w:p>
    <w:p>
      <w:pPr>
        <w:spacing w:before="0" w:after="120" w:line="276"/>
      </w:pPr>
      <w:r>
        <w:rPr>
          <w:rFonts w:ascii="Aptos" w:cs="Aptos" w:eastAsia="Aptos" w:hAnsi="Aptos"/>
          <w:color w:val="1E2833"/>
          <w:sz w:val="20"/>
          <w:szCs w:val="20"/>
        </w:rPr>
        <w:t xml:space="preserve">Existing SteelRiver warehouse workers may enrol in TLI30325 through the Warehouse Skills Program. Every learner is offered RPL at enrolment (SRA-RTO-005); RPL is decided through the assessment system (SRA-RTO-003). Gap training follows the unit sequence in section 4.</w:t>
      </w:r>
    </w:p>
    <w:p>
      <w:pPr>
        <w:keepNext/>
        <w:spacing w:before="200" w:after="80"/>
      </w:pPr>
      <w:r>
        <w:rPr>
          <w:rFonts w:ascii="Aptos Display" w:cs="Aptos Display" w:eastAsia="Aptos Display" w:hAnsi="Aptos Display"/>
          <w:b/>
          <w:bCs/>
          <w:color w:val="4F7F80"/>
          <w:sz w:val="24"/>
          <w:szCs w:val="24"/>
        </w:rPr>
        <w:t xml:space="preserve">2.3 Single-unit casual learners (TLID0020)</w:t>
      </w:r>
    </w:p>
    <w:p>
      <w:pPr>
        <w:spacing w:before="0" w:after="120" w:line="276"/>
      </w:pPr>
      <w:r>
        <w:rPr>
          <w:rFonts w:ascii="Aptos" w:cs="Aptos" w:eastAsia="Aptos" w:hAnsi="Aptos"/>
          <w:color w:val="1E2833"/>
          <w:sz w:val="20"/>
          <w:szCs w:val="20"/>
        </w:rPr>
        <w:t xml:space="preserve">Nine Perth DC casuals who handle stock by hand take TLID0020 Shift materials safely using manual handling methods as a single unit, with a Statement of Attainment. None has had formal manual handling training. The amount of training is the unit's 20 WA nominal hours: up to 8 paid off-floor hours of training and assessment, funded by SteelRiver before 30 June 2026 and rostered in blocks of no more than 4 hours, plus about 12 hours of coached practice on their own shifts with supervisors and buddies. Content, resources and the assessment tool (SRA-RTO-021) are the same as for Intake 2026-01; sessions are scheduled on weekends, afternoons and overnight to suit the casuals' shifts, with interpreters and picture cards as needed. A casual who holds a relevant Statement of Attainment is offered credit transfer or RPL (SRA-RTO-005).</w:t>
      </w:r>
    </w:p>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3. Program length and amount of training</w:t>
      </w:r>
    </w:p>
    <w:p>
      <w:pPr>
        <w:spacing w:before="0" w:after="120" w:line="276"/>
      </w:pPr>
      <w:r>
        <w:rPr>
          <w:rFonts w:ascii="Aptos" w:cs="Aptos" w:eastAsia="Aptos" w:hAnsi="Aptos"/>
          <w:color w:val="1E2833"/>
          <w:sz w:val="20"/>
          <w:szCs w:val="20"/>
        </w:rPr>
        <w:t xml:space="preserve">12 months alongside paid work, from Monday 2 March 2026 to the end of February 2027. About 460 hours of structured training (off-floor sessions, coached practice on shift, self-paced study and assessment), matching the WA nominal hours of the 14 units in the Academy's package (DTWD WA Nominal Hours Guide, TLI v16), plus supervised workplace practice across the 12 months. The WA Nominal Hours Guide lists 445 hours for TLI30325; nominal hours for the qualification vary with the units chosen. This averages about 8 to 9 hours a week, most of it coached practice on shift.</w:t>
      </w:r>
    </w:p>
    <w:p>
      <w:pPr>
        <w:spacing w:before="0" w:after="120" w:line="276"/>
      </w:pPr>
      <w:r>
        <w:rPr>
          <w:rFonts w:ascii="Aptos" w:cs="Aptos" w:eastAsia="Aptos" w:hAnsi="Aptos"/>
          <w:color w:val="1E2833"/>
          <w:sz w:val="20"/>
          <w:szCs w:val="20"/>
        </w:rPr>
        <w:t xml:space="preserve">Justification: the learners are new to the Perth DC, several are new to warehousing and four need language support, so they need the full nominal hours and plenty of supervised practice on real SteelRiver loads, equipment and procedures before assessment. Coached practice is planned and recorded (SRA-RTO-029), so it is training, not just work. Learners with relevant experience may need less time and are offered RPL instead of training.</w:t>
      </w:r>
    </w:p>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4. Unit sequence</w:t>
      </w:r>
    </w:p>
    <w:p>
      <w:pPr>
        <w:spacing w:before="0" w:after="120" w:line="276"/>
      </w:pPr>
      <w:r>
        <w:rPr>
          <w:rFonts w:ascii="Aptos" w:cs="Aptos" w:eastAsia="Aptos" w:hAnsi="Aptos"/>
          <w:color w:val="1E2833"/>
          <w:sz w:val="20"/>
          <w:szCs w:val="20"/>
        </w:rPr>
        <w:t xml:space="preserve">Safety units come first because the learners start on the live floor in their first week. Units are clustered where they share tasks; each unit is still mapped and assessed against its own requirements.</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800"/>
        <w:gridCol w:w="6952"/>
      </w:tblGrid>
      <w:tr>
        <w:trPr>
          <w:cantSplit/>
          <w:tblHeader/>
        </w:trPr>
        <w:tc>
          <w:tcPr>
            <w:tcW w:type="dxa" w:w="28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Term</w:t>
            </w:r>
          </w:p>
        </w:tc>
        <w:tc>
          <w:tcPr>
            <w:tcW w:type="dxa" w:w="6952"/>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Units and timing</w:t>
            </w:r>
          </w:p>
        </w:tc>
      </w:tr>
      <w:tr>
        <w:trPr>
          <w:cantSplit/>
        </w:trPr>
        <w:tc>
          <w:tcPr>
            <w:tcW w:type="dxa" w:w="28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Term 1 (March to May 2026)</w:t>
            </w:r>
          </w:p>
        </w:tc>
        <w:tc>
          <w:tcPr>
            <w:tcW w:type="dxa" w:w="69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TLIL0007 in the week of 2 March (with the SteelRiver induction, SRL-CR-048); TLID0020 group sessions Tuesday 10, Thursday 12 and Tuesday 17 March; TLIF3003 group sessions in the slots from Thursday 19 March to Thursday 2 April; TLIK2010 and TLIE2007 in April and May. TLID0020 final assessment from May 2026.</w:t>
            </w:r>
          </w:p>
        </w:tc>
      </w:tr>
      <w:tr>
        <w:trPr>
          <w:cantSplit/>
        </w:trPr>
        <w:tc>
          <w:tcPr>
            <w:tcW w:type="dxa" w:w="28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Term 2 (April to July 2026)</w:t>
            </w:r>
          </w:p>
        </w:tc>
        <w:tc>
          <w:tcPr>
            <w:tcW w:type="dxa" w:w="69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TLIA0010: workplace-based learning in inbound staging and racking rows 1 to 10 from mid-April to the end of June 2026 (learning plans SRA-RTO-046); final assessment from late June 2026. TLIO0003 and TLIA0022 (picking in Zones A to C).</w:t>
            </w:r>
          </w:p>
        </w:tc>
      </w:tr>
      <w:tr>
        <w:trPr>
          <w:cantSplit/>
        </w:trPr>
        <w:tc>
          <w:tcPr>
            <w:tcW w:type="dxa" w:w="28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Term 3 (July to October 2026)</w:t>
            </w:r>
          </w:p>
        </w:tc>
        <w:tc>
          <w:tcPr>
            <w:tcW w:type="dxa" w:w="69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Receiving cluster: TLIA0004, TLIA0015 and TLIX0013X on inbound docks 1 to 4 and in the dock office, with Priya Kaur (Inventory Coordinator) involved in TLIX0013X; TLIA0008 with the quarterly stocktake.</w:t>
            </w:r>
          </w:p>
        </w:tc>
      </w:tr>
      <w:tr>
        <w:trPr>
          <w:cantSplit/>
        </w:trPr>
        <w:tc>
          <w:tcPr>
            <w:tcW w:type="dxa" w:w="28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Term 4 (October 2026 to February 2027)</w:t>
            </w:r>
          </w:p>
        </w:tc>
        <w:tc>
          <w:tcPr>
            <w:tcW w:type="dxa" w:w="69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TLIF0009 and TLIJ0003; final reviews and completion.</w:t>
            </w:r>
          </w:p>
        </w:tc>
      </w:tr>
    </w:tbl>
    <w:p>
      <w:pPr>
        <w:spacing w:before="120" w:after="120" w:line="276"/>
      </w:pPr>
      <w:r>
        <w:rPr>
          <w:rFonts w:ascii="Aptos" w:cs="Aptos" w:eastAsia="Aptos" w:hAnsi="Aptos"/>
          <w:color w:val="1E2833"/>
          <w:sz w:val="20"/>
          <w:szCs w:val="20"/>
        </w:rPr>
        <w:t xml:space="preserve">Omar Khalil (overnight) and Chloe Marsh (weekend) follow the same sequence in individual and weekend sessions (section 7). Their TLIF3003 sessions are set with their supervisors.</w:t>
      </w:r>
    </w:p>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5. Amount of training</w:t>
      </w:r>
    </w:p>
    <w:p>
      <w:pPr>
        <w:keepNext/>
        <w:spacing w:before="200" w:after="80"/>
      </w:pPr>
      <w:r>
        <w:rPr>
          <w:rFonts w:ascii="Aptos Display" w:cs="Aptos Display" w:eastAsia="Aptos Display" w:hAnsi="Aptos Display"/>
          <w:b/>
          <w:bCs/>
          <w:color w:val="4F7F80"/>
          <w:sz w:val="24"/>
          <w:szCs w:val="24"/>
        </w:rPr>
        <w:t xml:space="preserve">5.1 Per unit</w:t>
      </w:r>
    </w:p>
    <w:p>
      <w:pPr>
        <w:spacing w:before="0" w:after="120" w:line="276"/>
      </w:pPr>
      <w:r>
        <w:rPr>
          <w:rFonts w:ascii="Aptos" w:cs="Aptos" w:eastAsia="Aptos" w:hAnsi="Aptos"/>
          <w:color w:val="1E2833"/>
          <w:sz w:val="20"/>
          <w:szCs w:val="20"/>
        </w:rPr>
        <w:t xml:space="preserve">Each unit gets its WA nominal hours (DTWD WA Nominal Hours Guide). Delivery plans break these figures down by learning component. A trainer may recommend a change, with reasons, to the Lead Trainer.</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500"/>
        <w:gridCol w:w="1700"/>
        <w:gridCol w:w="1600"/>
        <w:gridCol w:w="4952"/>
      </w:tblGrid>
      <w:tr>
        <w:trPr>
          <w:cantSplit/>
          <w:tblHeader/>
        </w:trPr>
        <w:tc>
          <w:tcPr>
            <w:tcW w:type="dxa" w:w="15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Unit</w:t>
            </w:r>
          </w:p>
        </w:tc>
        <w:tc>
          <w:tcPr>
            <w:tcW w:type="dxa" w:w="17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WA nominal hours</w:t>
            </w:r>
          </w:p>
        </w:tc>
        <w:tc>
          <w:tcPr>
            <w:tcW w:type="dxa" w:w="16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Academy hours</w:t>
            </w:r>
          </w:p>
        </w:tc>
        <w:tc>
          <w:tcPr>
            <w:tcW w:type="dxa" w:w="4952"/>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Main learning components</w:t>
            </w:r>
          </w:p>
        </w:tc>
      </w:tr>
      <w:tr>
        <w:trPr>
          <w:cantSplit/>
        </w:trPr>
        <w:tc>
          <w:tcPr>
            <w:tcW w:type="dxa" w:w="15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TLID0020</w:t>
            </w:r>
          </w:p>
        </w:tc>
        <w:tc>
          <w:tcPr>
            <w:tcW w:type="dxa" w:w="1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20</w:t>
            </w:r>
          </w:p>
        </w:tc>
        <w:tc>
          <w:tcPr>
            <w:tcW w:type="dxa" w:w="1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20</w:t>
            </w:r>
          </w:p>
        </w:tc>
        <w:tc>
          <w:tcPr>
            <w:tcW w:type="dxa" w:w="49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Three group sessions, coached practice on shift, self-paced revision (5.2)</w:t>
            </w:r>
          </w:p>
        </w:tc>
      </w:tr>
      <w:tr>
        <w:trPr>
          <w:cantSplit/>
        </w:trPr>
        <w:tc>
          <w:tcPr>
            <w:tcW w:type="dxa" w:w="15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TLIF0009</w:t>
            </w:r>
          </w:p>
        </w:tc>
        <w:tc>
          <w:tcPr>
            <w:tcW w:type="dxa" w:w="17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20</w:t>
            </w:r>
          </w:p>
        </w:tc>
        <w:tc>
          <w:tcPr>
            <w:tcW w:type="dxa" w:w="1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20</w:t>
            </w:r>
          </w:p>
        </w:tc>
        <w:tc>
          <w:tcPr>
            <w:tcW w:type="dxa" w:w="49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Off-floor sessions and workplace practice</w:t>
            </w:r>
          </w:p>
        </w:tc>
      </w:tr>
      <w:tr>
        <w:trPr>
          <w:cantSplit/>
        </w:trPr>
        <w:tc>
          <w:tcPr>
            <w:tcW w:type="dxa" w:w="15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TLIA0004</w:t>
            </w:r>
          </w:p>
        </w:tc>
        <w:tc>
          <w:tcPr>
            <w:tcW w:type="dxa" w:w="1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40</w:t>
            </w:r>
          </w:p>
        </w:tc>
        <w:tc>
          <w:tcPr>
            <w:tcW w:type="dxa" w:w="1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40</w:t>
            </w:r>
          </w:p>
        </w:tc>
        <w:tc>
          <w:tcPr>
            <w:tcW w:type="dxa" w:w="49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Receiving cluster: dock office and inbound docks, coached practice</w:t>
            </w:r>
          </w:p>
        </w:tc>
      </w:tr>
      <w:tr>
        <w:trPr>
          <w:cantSplit/>
        </w:trPr>
        <w:tc>
          <w:tcPr>
            <w:tcW w:type="dxa" w:w="15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TLIA0010</w:t>
            </w:r>
          </w:p>
        </w:tc>
        <w:tc>
          <w:tcPr>
            <w:tcW w:type="dxa" w:w="17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40</w:t>
            </w:r>
          </w:p>
        </w:tc>
        <w:tc>
          <w:tcPr>
            <w:tcW w:type="dxa" w:w="1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40</w:t>
            </w:r>
          </w:p>
        </w:tc>
        <w:tc>
          <w:tcPr>
            <w:tcW w:type="dxa" w:w="49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Workplace-based learning with learning plans (SRA-RTO-046)</w:t>
            </w:r>
          </w:p>
        </w:tc>
      </w:tr>
      <w:tr>
        <w:trPr>
          <w:cantSplit/>
        </w:trPr>
        <w:tc>
          <w:tcPr>
            <w:tcW w:type="dxa" w:w="15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TLIA0015</w:t>
            </w:r>
          </w:p>
        </w:tc>
        <w:tc>
          <w:tcPr>
            <w:tcW w:type="dxa" w:w="1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50</w:t>
            </w:r>
          </w:p>
        </w:tc>
        <w:tc>
          <w:tcPr>
            <w:tcW w:type="dxa" w:w="1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50</w:t>
            </w:r>
          </w:p>
        </w:tc>
        <w:tc>
          <w:tcPr>
            <w:tcW w:type="dxa" w:w="49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Receiving cluster: coached practice on inbound and despatch</w:t>
            </w:r>
          </w:p>
        </w:tc>
      </w:tr>
      <w:tr>
        <w:trPr>
          <w:cantSplit/>
        </w:trPr>
        <w:tc>
          <w:tcPr>
            <w:tcW w:type="dxa" w:w="15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TLIX0013X</w:t>
            </w:r>
          </w:p>
        </w:tc>
        <w:tc>
          <w:tcPr>
            <w:tcW w:type="dxa" w:w="17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50</w:t>
            </w:r>
          </w:p>
        </w:tc>
        <w:tc>
          <w:tcPr>
            <w:tcW w:type="dxa" w:w="1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50</w:t>
            </w:r>
          </w:p>
        </w:tc>
        <w:tc>
          <w:tcPr>
            <w:tcW w:type="dxa" w:w="49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Receiving cluster, with the Inventory Coordinator; stock control practice</w:t>
            </w:r>
          </w:p>
        </w:tc>
      </w:tr>
      <w:tr>
        <w:trPr>
          <w:cantSplit/>
        </w:trPr>
        <w:tc>
          <w:tcPr>
            <w:tcW w:type="dxa" w:w="15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TLIF3003</w:t>
            </w:r>
          </w:p>
        </w:tc>
        <w:tc>
          <w:tcPr>
            <w:tcW w:type="dxa" w:w="1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30</w:t>
            </w:r>
          </w:p>
        </w:tc>
        <w:tc>
          <w:tcPr>
            <w:tcW w:type="dxa" w:w="1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30</w:t>
            </w:r>
          </w:p>
        </w:tc>
        <w:tc>
          <w:tcPr>
            <w:tcW w:type="dxa" w:w="49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Five group sessions, workplace project, coached practice (5.2)</w:t>
            </w:r>
          </w:p>
        </w:tc>
      </w:tr>
      <w:tr>
        <w:trPr>
          <w:cantSplit/>
        </w:trPr>
        <w:tc>
          <w:tcPr>
            <w:tcW w:type="dxa" w:w="15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TLIL0007</w:t>
            </w:r>
          </w:p>
        </w:tc>
        <w:tc>
          <w:tcPr>
            <w:tcW w:type="dxa" w:w="17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25</w:t>
            </w:r>
          </w:p>
        </w:tc>
        <w:tc>
          <w:tcPr>
            <w:tcW w:type="dxa" w:w="1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25</w:t>
            </w:r>
          </w:p>
        </w:tc>
        <w:tc>
          <w:tcPr>
            <w:tcW w:type="dxa" w:w="49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In the week of 2 March with the SteelRiver induction (SRL-CR-048), then workplace practice</w:t>
            </w:r>
          </w:p>
        </w:tc>
      </w:tr>
      <w:tr>
        <w:trPr>
          <w:cantSplit/>
        </w:trPr>
        <w:tc>
          <w:tcPr>
            <w:tcW w:type="dxa" w:w="15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TLIK2010</w:t>
            </w:r>
          </w:p>
        </w:tc>
        <w:tc>
          <w:tcPr>
            <w:tcW w:type="dxa" w:w="1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40</w:t>
            </w:r>
          </w:p>
        </w:tc>
        <w:tc>
          <w:tcPr>
            <w:tcW w:type="dxa" w:w="1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40</w:t>
            </w:r>
          </w:p>
        </w:tc>
        <w:tc>
          <w:tcPr>
            <w:tcW w:type="dxa" w:w="49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RF scanner and warehouse system practice on shift</w:t>
            </w:r>
          </w:p>
        </w:tc>
      </w:tr>
      <w:tr>
        <w:trPr>
          <w:cantSplit/>
        </w:trPr>
        <w:tc>
          <w:tcPr>
            <w:tcW w:type="dxa" w:w="15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TLIE2007</w:t>
            </w:r>
          </w:p>
        </w:tc>
        <w:tc>
          <w:tcPr>
            <w:tcW w:type="dxa" w:w="17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20</w:t>
            </w:r>
          </w:p>
        </w:tc>
        <w:tc>
          <w:tcPr>
            <w:tcW w:type="dxa" w:w="1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20</w:t>
            </w:r>
          </w:p>
        </w:tc>
        <w:tc>
          <w:tcPr>
            <w:tcW w:type="dxa" w:w="49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Two-way radio and communication practice on shift</w:t>
            </w:r>
          </w:p>
        </w:tc>
      </w:tr>
      <w:tr>
        <w:trPr>
          <w:cantSplit/>
        </w:trPr>
        <w:tc>
          <w:tcPr>
            <w:tcW w:type="dxa" w:w="15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TLIA0008</w:t>
            </w:r>
          </w:p>
        </w:tc>
        <w:tc>
          <w:tcPr>
            <w:tcW w:type="dxa" w:w="1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20</w:t>
            </w:r>
          </w:p>
        </w:tc>
        <w:tc>
          <w:tcPr>
            <w:tcW w:type="dxa" w:w="1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20</w:t>
            </w:r>
          </w:p>
        </w:tc>
        <w:tc>
          <w:tcPr>
            <w:tcW w:type="dxa" w:w="49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Cycle counts and the quarterly stocktake</w:t>
            </w:r>
          </w:p>
        </w:tc>
      </w:tr>
      <w:tr>
        <w:trPr>
          <w:cantSplit/>
        </w:trPr>
        <w:tc>
          <w:tcPr>
            <w:tcW w:type="dxa" w:w="15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TLIJ0003</w:t>
            </w:r>
          </w:p>
        </w:tc>
        <w:tc>
          <w:tcPr>
            <w:tcW w:type="dxa" w:w="17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45</w:t>
            </w:r>
          </w:p>
        </w:tc>
        <w:tc>
          <w:tcPr>
            <w:tcW w:type="dxa" w:w="1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45</w:t>
            </w:r>
          </w:p>
        </w:tc>
        <w:tc>
          <w:tcPr>
            <w:tcW w:type="dxa" w:w="49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Off-floor sessions and quality checks on shift</w:t>
            </w:r>
          </w:p>
        </w:tc>
      </w:tr>
      <w:tr>
        <w:trPr>
          <w:cantSplit/>
        </w:trPr>
        <w:tc>
          <w:tcPr>
            <w:tcW w:type="dxa" w:w="15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TLIO0003</w:t>
            </w:r>
          </w:p>
        </w:tc>
        <w:tc>
          <w:tcPr>
            <w:tcW w:type="dxa" w:w="1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40</w:t>
            </w:r>
          </w:p>
        </w:tc>
        <w:tc>
          <w:tcPr>
            <w:tcW w:type="dxa" w:w="1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40</w:t>
            </w:r>
          </w:p>
        </w:tc>
        <w:tc>
          <w:tcPr>
            <w:tcW w:type="dxa" w:w="49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Security procedures on shift; short off-floor session</w:t>
            </w:r>
          </w:p>
        </w:tc>
      </w:tr>
      <w:tr>
        <w:trPr>
          <w:cantSplit/>
        </w:trPr>
        <w:tc>
          <w:tcPr>
            <w:tcW w:type="dxa" w:w="15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TLIA0022</w:t>
            </w:r>
          </w:p>
        </w:tc>
        <w:tc>
          <w:tcPr>
            <w:tcW w:type="dxa" w:w="17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20</w:t>
            </w:r>
          </w:p>
        </w:tc>
        <w:tc>
          <w:tcPr>
            <w:tcW w:type="dxa" w:w="1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20</w:t>
            </w:r>
          </w:p>
        </w:tc>
        <w:tc>
          <w:tcPr>
            <w:tcW w:type="dxa" w:w="49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Coached picking practice in Zones A to C</w:t>
            </w:r>
          </w:p>
        </w:tc>
      </w:tr>
      <w:tr>
        <w:trPr>
          <w:cantSplit/>
        </w:trPr>
        <w:tc>
          <w:tcPr>
            <w:tcW w:type="dxa" w:w="15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Total</w:t>
            </w:r>
          </w:p>
        </w:tc>
        <w:tc>
          <w:tcPr>
            <w:tcW w:type="dxa" w:w="1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460</w:t>
            </w:r>
          </w:p>
        </w:tc>
        <w:tc>
          <w:tcPr>
            <w:tcW w:type="dxa" w:w="1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460</w:t>
            </w:r>
          </w:p>
        </w:tc>
        <w:tc>
          <w:tcPr>
            <w:tcW w:type="dxa" w:w="49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The WA guide lists 445 for TLI30325; the figure varies with the units chosen</w:t>
            </w:r>
          </w:p>
        </w:tc>
      </w:tr>
    </w:tbl>
    <w:p>
      <w:pPr>
        <w:keepNext/>
        <w:spacing w:before="200" w:after="80"/>
      </w:pPr>
      <w:r>
        <w:rPr>
          <w:rFonts w:ascii="Aptos Display" w:cs="Aptos Display" w:eastAsia="Aptos Display" w:hAnsi="Aptos Display"/>
          <w:b/>
          <w:bCs/>
          <w:color w:val="4F7F80"/>
          <w:sz w:val="24"/>
          <w:szCs w:val="24"/>
        </w:rPr>
        <w:t xml:space="preserve">5.2 TLID0020 and TLIF3003</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800"/>
        <w:gridCol w:w="3476"/>
        <w:gridCol w:w="3476"/>
      </w:tblGrid>
      <w:tr>
        <w:trPr>
          <w:cantSplit/>
          <w:tblHeader/>
        </w:trPr>
        <w:tc>
          <w:tcPr>
            <w:tcW w:type="dxa" w:w="28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Component</w:t>
            </w:r>
          </w:p>
        </w:tc>
        <w:tc>
          <w:tcPr>
            <w:tcW w:type="dxa" w:w="3476"/>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TLID0020 (20 hours)</w:t>
            </w:r>
          </w:p>
        </w:tc>
        <w:tc>
          <w:tcPr>
            <w:tcW w:type="dxa" w:w="3476"/>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TLIF3003 (30 hours)</w:t>
            </w:r>
          </w:p>
        </w:tc>
      </w:tr>
      <w:tr>
        <w:trPr>
          <w:cantSplit/>
        </w:trPr>
        <w:tc>
          <w:tcPr>
            <w:tcW w:type="dxa" w:w="28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Off-floor group sessions</w:t>
            </w:r>
          </w:p>
        </w:tc>
        <w:tc>
          <w:tcPr>
            <w:tcW w:type="dxa" w:w="3476"/>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About 4.5 hours (3 x 90 minutes)</w:t>
            </w:r>
          </w:p>
        </w:tc>
        <w:tc>
          <w:tcPr>
            <w:tcW w:type="dxa" w:w="3476"/>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Up to 7.5 hours (5 x 90 minutes)</w:t>
            </w:r>
          </w:p>
        </w:tc>
      </w:tr>
      <w:tr>
        <w:trPr>
          <w:cantSplit/>
        </w:trPr>
        <w:tc>
          <w:tcPr>
            <w:tcW w:type="dxa" w:w="28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Coached practice on shift</w:t>
            </w:r>
          </w:p>
        </w:tc>
        <w:tc>
          <w:tcPr>
            <w:tcW w:type="dxa" w:w="3476"/>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About 10 hours</w:t>
            </w:r>
          </w:p>
        </w:tc>
        <w:tc>
          <w:tcPr>
            <w:tcW w:type="dxa" w:w="3476"/>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About 12 hours (coached workplace practice)</w:t>
            </w:r>
          </w:p>
        </w:tc>
      </w:tr>
      <w:tr>
        <w:trPr>
          <w:cantSplit/>
        </w:trPr>
        <w:tc>
          <w:tcPr>
            <w:tcW w:type="dxa" w:w="28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Self-paced study</w:t>
            </w:r>
          </w:p>
        </w:tc>
        <w:tc>
          <w:tcPr>
            <w:tcW w:type="dxa" w:w="3476"/>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About 3 hours</w:t>
            </w:r>
          </w:p>
        </w:tc>
        <w:tc>
          <w:tcPr>
            <w:tcW w:type="dxa" w:w="3476"/>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About 4.5 hours</w:t>
            </w:r>
          </w:p>
        </w:tc>
      </w:tr>
      <w:tr>
        <w:trPr>
          <w:cantSplit/>
        </w:trPr>
        <w:tc>
          <w:tcPr>
            <w:tcW w:type="dxa" w:w="28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Assessment</w:t>
            </w:r>
          </w:p>
        </w:tc>
        <w:tc>
          <w:tcPr>
            <w:tcW w:type="dxa" w:w="3476"/>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About 2.5 hours</w:t>
            </w:r>
          </w:p>
        </w:tc>
        <w:tc>
          <w:tcPr>
            <w:tcW w:type="dxa" w:w="3476"/>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About 6 hours, including the workplace project</w:t>
            </w:r>
          </w:p>
        </w:tc>
      </w:tr>
    </w:tbl>
    <w:p>
      <w:pPr>
        <w:spacing w:before="120" w:after="120" w:line="276"/>
      </w:pPr>
      <w:r>
        <w:rPr>
          <w:rFonts w:ascii="Aptos" w:cs="Aptos" w:eastAsia="Aptos" w:hAnsi="Aptos"/>
          <w:color w:val="1E2833"/>
          <w:sz w:val="20"/>
          <w:szCs w:val="20"/>
        </w:rPr>
        <w:t xml:space="preserve">Learners on other shifts receive the same content in individual or weekend sessions.</w:t>
      </w:r>
    </w:p>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6. Delivery modes and locations</w:t>
      </w:r>
    </w:p>
    <w:p>
      <w:pPr>
        <w:spacing w:before="0" w:after="120" w:line="276"/>
      </w:pPr>
      <w:r>
        <w:rPr>
          <w:rFonts w:ascii="Aptos" w:cs="Aptos" w:eastAsia="Aptos" w:hAnsi="Aptos"/>
          <w:color w:val="1E2833"/>
          <w:sz w:val="20"/>
          <w:szCs w:val="20"/>
        </w:rPr>
        <w:t xml:space="preserve">Blended. Off-floor group sessions in Training Room 1 and the training bay. Coached practice on the live floor under the site rules (SRL-CR-042, SRL-CR-043) with the shift supervisor and a buddy; no individual productivity targets in the first 8 weeks (to Tuesday 28 April 2026). Self-paced revision on the Academy intranet pages (picture cards, short videos, quizzes), on a tablet in Training Room 1 or at home.</w:t>
      </w:r>
    </w:p>
    <w:p>
      <w:pPr>
        <w:keepNext/>
        <w:spacing w:before="200" w:after="80"/>
      </w:pPr>
      <w:r>
        <w:rPr>
          <w:rFonts w:ascii="Aptos Display" w:cs="Aptos Display" w:eastAsia="Aptos Display" w:hAnsi="Aptos Display"/>
          <w:b/>
          <w:bCs/>
          <w:color w:val="4F7F80"/>
          <w:sz w:val="24"/>
          <w:szCs w:val="24"/>
        </w:rPr>
        <w:t xml:space="preserve">6.1 Locations and facilities</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400"/>
        <w:gridCol w:w="7352"/>
      </w:tblGrid>
      <w:tr>
        <w:trPr>
          <w:cantSplit/>
          <w:tblHeader/>
        </w:trPr>
        <w:tc>
          <w:tcPr>
            <w:tcW w:type="dxa" w:w="24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Location</w:t>
            </w:r>
          </w:p>
        </w:tc>
        <w:tc>
          <w:tcPr>
            <w:tcW w:type="dxa" w:w="7352"/>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Detail</w:t>
            </w:r>
          </w:p>
        </w:tc>
      </w:tr>
      <w:tr>
        <w:trPr>
          <w:cantSplit/>
        </w:trPr>
        <w:tc>
          <w:tcPr>
            <w:tcW w:type="dxa" w:w="24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Training Room 1</w:t>
            </w:r>
          </w:p>
        </w:tc>
        <w:tc>
          <w:tcPr>
            <w:tcW w:type="dxa" w:w="73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Admin building. 16 seats at tables, screen and laptop, whiteboard, wall-mounted fan, two exits; nearest first aid kit in the admin kitchen. Booked through Ivy Chua</w:t>
            </w:r>
          </w:p>
        </w:tc>
      </w:tr>
      <w:tr>
        <w:trPr>
          <w:cantSplit/>
        </w:trPr>
        <w:tc>
          <w:tcPr>
            <w:tcW w:type="dxa" w:w="24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Training bay</w:t>
            </w:r>
          </w:p>
        </w:tc>
        <w:tc>
          <w:tcPr>
            <w:tcW w:type="dxa" w:w="73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North end of inbound staging, beside inbound docks 1 to 4 on the west wall. Two bays of ground-level pallet racking; a hand pallet truck; an electric pallet jack (PJ-01, Braxa EP20, shared with inbound staging and booked with the morning supervisor the day before); stretch-wrap (hand rolls and a hand dispenser with a brake and cutter); sample cartons of 2 to 30 kg with weight labels; empty cartons with DG class labels and a laminated example emergency information panel; a mixed pallet; a trolley; scales; sample delivery dockets and consignment notes. The battery charging bay (DG-AREA-02, Class 8 electrolyte, eyewash and shower ES-01) is just north of dock 4</w:t>
            </w:r>
          </w:p>
        </w:tc>
      </w:tr>
      <w:tr>
        <w:trPr>
          <w:cantSplit/>
        </w:trPr>
        <w:tc>
          <w:tcPr>
            <w:tcW w:type="dxa" w:w="24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Live warehouse floor</w:t>
            </w:r>
          </w:p>
        </w:tc>
        <w:tc>
          <w:tcPr>
            <w:tcW w:type="dxa" w:w="73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Inbound staging, racking rows 1 to 10 (ground-level putaway), Zones A to C (picking) and the dispatch lanes, under the site rules: indoor forklift limit 10 km/h, beacons, a spotter for reversing in pick aisles, pedestrian walkways (SRL-CR-043)</w:t>
            </w:r>
          </w:p>
        </w:tc>
      </w:tr>
      <w:tr>
        <w:trPr>
          <w:cantSplit/>
        </w:trPr>
        <w:tc>
          <w:tcPr>
            <w:tcW w:type="dxa" w:w="24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Academy intranet</w:t>
            </w:r>
          </w:p>
        </w:tc>
        <w:tc>
          <w:tcPr>
            <w:tcW w:type="dxa" w:w="73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Learning resources, picture cards, short videos and quizzes on the SteelRiver Academy site (academy.trainingworx.com.au), with text-to-speech</w:t>
            </w:r>
          </w:p>
        </w:tc>
      </w:tr>
    </w:tbl>
    <w:p>
      <w:pPr>
        <w:keepNext/>
        <w:spacing w:before="200" w:after="80"/>
      </w:pPr>
      <w:r>
        <w:rPr>
          <w:rFonts w:ascii="Aptos Display" w:cs="Aptos Display" w:eastAsia="Aptos Display" w:hAnsi="Aptos Display"/>
          <w:b/>
          <w:bCs/>
          <w:color w:val="4F7F80"/>
          <w:sz w:val="24"/>
          <w:szCs w:val="24"/>
        </w:rPr>
        <w:t xml:space="preserve">6.2 Training bay rules</w:t>
      </w:r>
    </w:p>
    <w:p>
      <w:pPr>
        <w:spacing w:before="0" w:after="120" w:line="276"/>
      </w:pPr>
      <w:r>
        <w:rPr>
          <w:rFonts w:ascii="Aptos" w:cs="Aptos" w:eastAsia="Aptos" w:hAnsi="Aptos"/>
          <w:color w:val="1E2833"/>
          <w:sz w:val="20"/>
          <w:szCs w:val="20"/>
        </w:rPr>
        <w:t xml:space="preserve">Agreed by Daniela Marquez (WHS Coordinator) and Craig Moretti, February 2026.</w:t>
      </w:r>
    </w:p>
    <w:p>
      <w:pPr>
        <w:pStyle w:val="ListParagraph"/>
        <w:numPr>
          <w:ilvl w:val="0"/>
          <w:numId w:val="2"/>
        </w:numPr>
        <w:spacing w:after="60" w:line="264"/>
      </w:pPr>
      <w:r>
        <w:rPr>
          <w:rFonts w:ascii="Aptos" w:cs="Aptos" w:eastAsia="Aptos" w:hAnsi="Aptos"/>
          <w:color w:val="1E2833"/>
          <w:sz w:val="20"/>
          <w:szCs w:val="20"/>
        </w:rPr>
        <w:t xml:space="preserve">Everyone in the bay wears safety footwear and a high visibility vest (SRL-CR-046).</w:t>
      </w:r>
    </w:p>
    <w:p>
      <w:pPr>
        <w:pStyle w:val="ListParagraph"/>
        <w:numPr>
          <w:ilvl w:val="0"/>
          <w:numId w:val="2"/>
        </w:numPr>
        <w:spacing w:after="60" w:line="264"/>
      </w:pPr>
      <w:r>
        <w:rPr>
          <w:rFonts w:ascii="Aptos" w:cs="Aptos" w:eastAsia="Aptos" w:hAnsi="Aptos"/>
          <w:color w:val="1E2833"/>
          <w:sz w:val="20"/>
          <w:szCs w:val="20"/>
        </w:rPr>
        <w:t xml:space="preserve">Keep the 1.2 m green walkway on the staging side clear.</w:t>
      </w:r>
    </w:p>
    <w:p>
      <w:pPr>
        <w:pStyle w:val="ListParagraph"/>
        <w:numPr>
          <w:ilvl w:val="0"/>
          <w:numId w:val="2"/>
        </w:numPr>
        <w:spacing w:after="60" w:line="264"/>
      </w:pPr>
      <w:r>
        <w:rPr>
          <w:rFonts w:ascii="Aptos" w:cs="Aptos" w:eastAsia="Aptos" w:hAnsi="Aptos"/>
          <w:color w:val="1E2833"/>
          <w:sz w:val="20"/>
          <w:szCs w:val="20"/>
        </w:rPr>
        <w:t xml:space="preserve">Check with the inbound lead before each session.</w:t>
      </w:r>
    </w:p>
    <w:p>
      <w:pPr>
        <w:pStyle w:val="ListParagraph"/>
        <w:numPr>
          <w:ilvl w:val="0"/>
          <w:numId w:val="2"/>
        </w:numPr>
        <w:spacing w:after="60" w:line="264"/>
      </w:pPr>
      <w:r>
        <w:rPr>
          <w:rFonts w:ascii="Aptos" w:cs="Aptos" w:eastAsia="Aptos" w:hAnsi="Aptos"/>
          <w:color w:val="1E2833"/>
          <w:sz w:val="20"/>
          <w:szCs w:val="20"/>
        </w:rPr>
        <w:t xml:space="preserve">While trucks are unloading at docks 1 to 4, put up the chain barrier on the staging side, keep learners inside the bay and do no training in the staging lanes until unloading stops.</w:t>
      </w:r>
    </w:p>
    <w:p>
      <w:pPr>
        <w:pStyle w:val="ListParagraph"/>
        <w:numPr>
          <w:ilvl w:val="0"/>
          <w:numId w:val="2"/>
        </w:numPr>
        <w:spacing w:after="60" w:line="264"/>
      </w:pPr>
      <w:r>
        <w:rPr>
          <w:rFonts w:ascii="Aptos" w:cs="Aptos" w:eastAsia="Aptos" w:hAnsi="Aptos"/>
          <w:color w:val="1E2833"/>
          <w:sz w:val="20"/>
          <w:szCs w:val="20"/>
        </w:rPr>
        <w:t xml:space="preserve">Learners start on the hand pallet truck and use the electric pallet jack only after familiarisation and sign-off under SRL-CR-042.</w:t>
      </w:r>
    </w:p>
    <w:p>
      <w:pPr>
        <w:pStyle w:val="ListParagraph"/>
        <w:numPr>
          <w:ilvl w:val="0"/>
          <w:numId w:val="2"/>
        </w:numPr>
        <w:spacing w:after="60" w:line="264"/>
      </w:pPr>
      <w:r>
        <w:rPr>
          <w:rFonts w:ascii="Aptos" w:cs="Aptos" w:eastAsia="Aptos" w:hAnsi="Aptos"/>
          <w:color w:val="1E2833"/>
          <w:sz w:val="20"/>
          <w:szCs w:val="20"/>
        </w:rPr>
        <w:t xml:space="preserve">Pallet jack practice only inside the bay, at walking pace, one machine at a time.</w:t>
      </w:r>
    </w:p>
    <w:p>
      <w:pPr>
        <w:pStyle w:val="ListParagraph"/>
        <w:numPr>
          <w:ilvl w:val="0"/>
          <w:numId w:val="2"/>
        </w:numPr>
        <w:spacing w:after="60" w:line="264"/>
      </w:pPr>
      <w:r>
        <w:rPr>
          <w:rFonts w:ascii="Aptos" w:cs="Aptos" w:eastAsia="Aptos" w:hAnsi="Aptos"/>
          <w:color w:val="1E2833"/>
          <w:sz w:val="20"/>
          <w:szCs w:val="20"/>
        </w:rPr>
        <w:t xml:space="preserve">Loads within the draft SteelRiver weight rule (SRL-CR-041 draft): over 16 kg, use a team lift or a mechanical aid; over 25 kg or awkward items, never lift alone. WA reference: the WorkSafe WA Code of practice: Hazardous manual tasks.</w:t>
      </w:r>
    </w:p>
    <w:p>
      <w:pPr>
        <w:pStyle w:val="ListParagraph"/>
        <w:numPr>
          <w:ilvl w:val="0"/>
          <w:numId w:val="2"/>
        </w:numPr>
        <w:spacing w:after="60" w:line="264"/>
      </w:pPr>
      <w:r>
        <w:rPr>
          <w:rFonts w:ascii="Aptos" w:cs="Aptos" w:eastAsia="Aptos" w:hAnsi="Aptos"/>
          <w:color w:val="1E2833"/>
          <w:sz w:val="20"/>
          <w:szCs w:val="20"/>
        </w:rPr>
        <w:t xml:space="preserve">Report any hazard to the shift supervisor, who records it in MyOSH.</w:t>
      </w:r>
    </w:p>
    <w:p>
      <w:pPr>
        <w:keepNext/>
        <w:spacing w:before="200" w:after="80"/>
      </w:pPr>
      <w:r>
        <w:rPr>
          <w:rFonts w:ascii="Aptos Display" w:cs="Aptos Display" w:eastAsia="Aptos Display" w:hAnsi="Aptos Display"/>
          <w:b/>
          <w:bCs/>
          <w:color w:val="4F7F80"/>
          <w:sz w:val="24"/>
          <w:szCs w:val="24"/>
        </w:rPr>
        <w:t xml:space="preserve">6.3 Emergency and first aid</w:t>
      </w:r>
    </w:p>
    <w:p>
      <w:pPr>
        <w:spacing w:before="0" w:after="120" w:line="276"/>
      </w:pPr>
      <w:r>
        <w:rPr>
          <w:rFonts w:ascii="Aptos" w:cs="Aptos" w:eastAsia="Aptos" w:hAnsi="Aptos"/>
          <w:color w:val="1E2833"/>
          <w:sz w:val="20"/>
          <w:szCs w:val="20"/>
        </w:rPr>
        <w:t xml:space="preserve">Alarm and evacuation: follow the shift supervisor (area warden) to assembly area AA1 in the front car park (SRL-CR-036). A first aider is on every shift; the first aid kit is at inbound dock 1 (SRL-CR-161). Spill kit SK-01 is inside inbound dock 1.</w:t>
      </w:r>
    </w:p>
    <w:p>
      <w:pPr>
        <w:keepNext/>
        <w:spacing w:before="200" w:after="80"/>
      </w:pPr>
      <w:r>
        <w:rPr>
          <w:rFonts w:ascii="Aptos Display" w:cs="Aptos Display" w:eastAsia="Aptos Display" w:hAnsi="Aptos Display"/>
          <w:b/>
          <w:bCs/>
          <w:color w:val="4F7F80"/>
          <w:sz w:val="24"/>
          <w:szCs w:val="24"/>
        </w:rPr>
        <w:t xml:space="preserve">6.4 Learning on the live floor</w:t>
      </w:r>
    </w:p>
    <w:p>
      <w:pPr>
        <w:pStyle w:val="ListParagraph"/>
        <w:numPr>
          <w:ilvl w:val="0"/>
          <w:numId w:val="2"/>
        </w:numPr>
        <w:spacing w:after="60" w:line="264"/>
      </w:pPr>
      <w:r>
        <w:rPr>
          <w:rFonts w:ascii="Aptos" w:cs="Aptos" w:eastAsia="Aptos" w:hAnsi="Aptos"/>
          <w:color w:val="1E2833"/>
          <w:sz w:val="20"/>
          <w:szCs w:val="20"/>
        </w:rPr>
        <w:t xml:space="preserve">Learners are never placed on individual productivity targets during their first 8 weeks. For Intake 2026-01 that runs to Tuesday 28 April 2026. Only the Academy Manager can agree an exception.</w:t>
      </w:r>
    </w:p>
    <w:p>
      <w:pPr>
        <w:pStyle w:val="ListParagraph"/>
        <w:numPr>
          <w:ilvl w:val="0"/>
          <w:numId w:val="2"/>
        </w:numPr>
        <w:spacing w:after="60" w:line="264"/>
      </w:pPr>
      <w:r>
        <w:rPr>
          <w:rFonts w:ascii="Aptos" w:cs="Aptos" w:eastAsia="Aptos" w:hAnsi="Aptos"/>
          <w:color w:val="1E2833"/>
          <w:sz w:val="20"/>
          <w:szCs w:val="20"/>
        </w:rPr>
        <w:t xml:space="preserve">Every learner has a buddy on every shift, and the shift supervisor records coached practice on SRA-RTO-029.</w:t>
      </w:r>
    </w:p>
    <w:p>
      <w:pPr>
        <w:pStyle w:val="ListParagraph"/>
        <w:numPr>
          <w:ilvl w:val="0"/>
          <w:numId w:val="2"/>
        </w:numPr>
        <w:spacing w:after="60" w:line="264"/>
      </w:pPr>
      <w:r>
        <w:rPr>
          <w:rFonts w:ascii="Aptos" w:cs="Aptos" w:eastAsia="Aptos" w:hAnsi="Aptos"/>
          <w:color w:val="1E2833"/>
          <w:sz w:val="20"/>
          <w:szCs w:val="20"/>
        </w:rPr>
        <w:t xml:space="preserve">Learners operate plant only after SteelRiver task training and competency sign-off (SRL-CR-042, SRL-CR-047). Forklifts and reach trucks are driven only by licensed operators.</w:t>
      </w:r>
    </w:p>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7. Release roster (updated Tuesday 10 February 2026)</w:t>
      </w:r>
    </w:p>
    <w:p>
      <w:pPr>
        <w:spacing w:before="0" w:after="120" w:line="276"/>
      </w:pPr>
      <w:r>
        <w:rPr>
          <w:rFonts w:ascii="Aptos" w:cs="Aptos" w:eastAsia="Aptos" w:hAnsi="Aptos"/>
          <w:color w:val="1E2833"/>
          <w:sz w:val="20"/>
          <w:szCs w:val="20"/>
        </w:rPr>
        <w:t xml:space="preserve">At the Perth DC Operations Meeting on Thursday 5 February 2026 Michael Tran raised the clash between 13:00 releases and the inbound truck peak. The agreed fix is a fixed release roster per shift: each shift releases the same learners at the same times every week, so supervisors can plan cover around the inbound peak. Group sessions stay on Tuesdays and Thursdays, 13:00 to 14:30. Morning learners are released for the last hour of their shift and paid for the extra 30 minutes; afternoon learners start at 13:00 (paid). Omar Khalil: individual sessions 21:00 to 22:00 before his shift (TLID0020 on Wednesday 18 and Tuesday 24 March). Chloe Marsh: weekend training days set with Jordan Welsh.</w:t>
      </w:r>
    </w:p>
    <w:p>
      <w:pPr>
        <w:spacing w:before="0" w:after="120" w:line="276"/>
      </w:pPr>
      <w:r>
        <w:rPr>
          <w:rFonts w:ascii="Aptos" w:cs="Aptos" w:eastAsia="Aptos" w:hAnsi="Aptos"/>
          <w:color w:val="1E2833"/>
          <w:sz w:val="20"/>
          <w:szCs w:val="20"/>
        </w:rPr>
        <w:t xml:space="preserve">Conditions agreed by Michael Tran, Operations Manager (email, Monday 9 February 2026):</w:t>
      </w:r>
    </w:p>
    <w:p>
      <w:pPr>
        <w:pStyle w:val="ListParagraph"/>
        <w:numPr>
          <w:ilvl w:val="0"/>
          <w:numId w:val="2"/>
        </w:numPr>
        <w:spacing w:after="60" w:line="264"/>
      </w:pPr>
      <w:r>
        <w:rPr>
          <w:rFonts w:ascii="Aptos" w:cs="Aptos" w:eastAsia="Aptos" w:hAnsi="Aptos"/>
          <w:color w:val="1E2833"/>
          <w:sz w:val="20"/>
          <w:szCs w:val="20"/>
        </w:rPr>
        <w:t xml:space="preserve">Off-floor sessions on Tuesdays and Thursdays only.</w:t>
      </w:r>
    </w:p>
    <w:p>
      <w:pPr>
        <w:pStyle w:val="ListParagraph"/>
        <w:numPr>
          <w:ilvl w:val="0"/>
          <w:numId w:val="2"/>
        </w:numPr>
        <w:spacing w:after="60" w:line="264"/>
      </w:pPr>
      <w:r>
        <w:rPr>
          <w:rFonts w:ascii="Aptos" w:cs="Aptos" w:eastAsia="Aptos" w:hAnsi="Aptos"/>
          <w:color w:val="1E2833"/>
          <w:sz w:val="20"/>
          <w:szCs w:val="20"/>
        </w:rPr>
        <w:t xml:space="preserve">No learner is taken off docks 1 to 4 between 12:30 and 15:30.</w:t>
      </w:r>
    </w:p>
    <w:p>
      <w:pPr>
        <w:pStyle w:val="ListParagraph"/>
        <w:numPr>
          <w:ilvl w:val="0"/>
          <w:numId w:val="2"/>
        </w:numPr>
        <w:spacing w:after="60" w:line="264"/>
      </w:pPr>
      <w:r>
        <w:rPr>
          <w:rFonts w:ascii="Aptos" w:cs="Aptos" w:eastAsia="Aptos" w:hAnsi="Aptos"/>
          <w:color w:val="1E2833"/>
          <w:sz w:val="20"/>
          <w:szCs w:val="20"/>
        </w:rPr>
        <w:t xml:space="preserve">The two afternoon operators start the 13:00 session as paid time before their shift and go to the docks at 14:30. Naomi Pereira signs off the afternoon roster.</w:t>
      </w:r>
    </w:p>
    <w:p>
      <w:pPr>
        <w:pStyle w:val="ListParagraph"/>
        <w:numPr>
          <w:ilvl w:val="0"/>
          <w:numId w:val="2"/>
        </w:numPr>
        <w:spacing w:after="60" w:line="264"/>
      </w:pPr>
      <w:r>
        <w:rPr>
          <w:rFonts w:ascii="Aptos" w:cs="Aptos" w:eastAsia="Aptos" w:hAnsi="Aptos"/>
          <w:color w:val="1E2833"/>
          <w:sz w:val="20"/>
          <w:szCs w:val="20"/>
        </w:rPr>
        <w:t xml:space="preserve">Morning learners come from the pick zones at 13:00, not from the docks.</w:t>
      </w:r>
    </w:p>
    <w:p>
      <w:pPr>
        <w:pStyle w:val="ListParagraph"/>
        <w:numPr>
          <w:ilvl w:val="0"/>
          <w:numId w:val="2"/>
        </w:numPr>
        <w:spacing w:after="60" w:line="264"/>
      </w:pPr>
      <w:r>
        <w:rPr>
          <w:rFonts w:ascii="Aptos" w:cs="Aptos" w:eastAsia="Aptos" w:hAnsi="Aptos"/>
          <w:color w:val="1E2833"/>
          <w:sz w:val="20"/>
          <w:szCs w:val="20"/>
        </w:rPr>
        <w:t xml:space="preserve">The roster is one page, published four weeks ahead, with two weeks' notice to supervisors of any change. It is reviewed at the April Operations Meeting.</w:t>
      </w:r>
    </w:p>
    <w:p>
      <w:pPr>
        <w:spacing w:before="120" w:after="120" w:line="276"/>
      </w:pPr>
      <w:r>
        <w:rPr>
          <w:rFonts w:ascii="Aptos" w:cs="Aptos" w:eastAsia="Aptos" w:hAnsi="Aptos"/>
          <w:color w:val="1E2833"/>
          <w:sz w:val="20"/>
          <w:szCs w:val="20"/>
        </w:rPr>
        <w:t xml:space="preserve">Workplace observation for assessment happens on the learner's own rostered shift. Short work skill instructions in the training bay that are agreed with the shift supervisor are on-shift instructions, not off-floor sessions, so this roster does not apply to them; any part that would use the staging lanes goes ahead only if docks 1 to 4 are not unloading.</w:t>
      </w:r>
    </w:p>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8. Assessment</w:t>
      </w:r>
    </w:p>
    <w:p>
      <w:pPr>
        <w:spacing w:before="0" w:after="120" w:line="276"/>
      </w:pPr>
      <w:r>
        <w:rPr>
          <w:rFonts w:ascii="Aptos" w:cs="Aptos" w:eastAsia="Aptos" w:hAnsi="Aptos"/>
          <w:color w:val="1E2833"/>
          <w:sz w:val="20"/>
          <w:szCs w:val="20"/>
        </w:rPr>
        <w:t xml:space="preserve">Final assessment in the workplace on normal shifts, wherever the unit allows, with real SteelRiver loads, equipment and procedures. Observation by an Academy assessor (may be filmed); knowledge questions in written, oral or picture-supported form; workplace supervisor observation records and reports (SRA-RTO-029 guide). Supervisors record practice but do not make judgements. RPL offered at enrolment (SRA-RTO-005) and decided through the assessment system. Tools have a pre-use review before first use (SRA-RTO-003). Trainers use formative checks in every session.</w:t>
      </w:r>
    </w:p>
    <w:p>
      <w:pPr>
        <w:keepNext/>
        <w:spacing w:before="200" w:after="80"/>
      </w:pPr>
      <w:r>
        <w:rPr>
          <w:rFonts w:ascii="Aptos Display" w:cs="Aptos Display" w:eastAsia="Aptos Display" w:hAnsi="Aptos Display"/>
          <w:b/>
          <w:bCs/>
          <w:color w:val="4F7F80"/>
          <w:sz w:val="24"/>
          <w:szCs w:val="24"/>
        </w:rPr>
        <w:t xml:space="preserve">8.1 Assessment methods and tools per unit</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900"/>
        <w:gridCol w:w="5000"/>
        <w:gridCol w:w="2852"/>
      </w:tblGrid>
      <w:tr>
        <w:trPr>
          <w:cantSplit/>
          <w:tblHeader/>
        </w:trPr>
        <w:tc>
          <w:tcPr>
            <w:tcW w:type="dxa" w:w="19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Unit</w:t>
            </w:r>
          </w:p>
        </w:tc>
        <w:tc>
          <w:tcPr>
            <w:tcW w:type="dxa" w:w="50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Methods</w:t>
            </w:r>
          </w:p>
        </w:tc>
        <w:tc>
          <w:tcPr>
            <w:tcW w:type="dxa" w:w="2852"/>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Tool</w:t>
            </w:r>
          </w:p>
        </w:tc>
      </w:tr>
      <w:tr>
        <w:trPr>
          <w:cantSplit/>
        </w:trPr>
        <w:tc>
          <w:tcPr>
            <w:tcW w:type="dxa" w:w="19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TLID0020</w:t>
            </w:r>
          </w:p>
        </w:tc>
        <w:tc>
          <w:tcPr>
            <w:tcW w:type="dxa" w:w="5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Knowledge questions in written, oral and picture-supported versions; two observed manual handling tasks, a team lift and using a lifting aid; supervisor report. Final assessment in the workplace on normal shifts; a simulator or online assessment is not used for final assessment</w:t>
            </w:r>
          </w:p>
        </w:tc>
        <w:tc>
          <w:tcPr>
            <w:tcW w:type="dxa" w:w="28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SRA-RTO-021 (pre-use review Wednesday 25 February 2026); RPL kit SRA-RTO-024 (in development, due March 2026)</w:t>
            </w:r>
          </w:p>
        </w:tc>
      </w:tr>
      <w:tr>
        <w:trPr>
          <w:cantSplit/>
        </w:trPr>
        <w:tc>
          <w:tcPr>
            <w:tcW w:type="dxa" w:w="19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TLIF3003</w:t>
            </w:r>
          </w:p>
        </w:tc>
        <w:tc>
          <w:tcPr>
            <w:tcW w:type="dxa" w:w="50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Knowledge questions; a workplace project to implement and monitor hazard identification and housekeeping on one shift, including a contingency; observation; supervisor report</w:t>
            </w:r>
          </w:p>
        </w:tc>
        <w:tc>
          <w:tcPr>
            <w:tcW w:type="dxa" w:w="28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SRA-RTO-022 (pre-use review Wednesday 25 February 2026)</w:t>
            </w:r>
          </w:p>
        </w:tc>
      </w:tr>
      <w:tr>
        <w:trPr>
          <w:cantSplit/>
        </w:trPr>
        <w:tc>
          <w:tcPr>
            <w:tcW w:type="dxa" w:w="19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TLIA0010</w:t>
            </w:r>
          </w:p>
        </w:tc>
        <w:tc>
          <w:tcPr>
            <w:tcW w:type="dxa" w:w="5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Observation of putaway to row-bay-level locations on the learner's shift; knowledge questions with picture cards; supervisor report</w:t>
            </w:r>
          </w:p>
        </w:tc>
        <w:tc>
          <w:tcPr>
            <w:tcW w:type="dxa" w:w="28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SRA-RTO-023 v2.0, revised for the 2025 location changes (pre-use review Wednesday 25 February 2026); RPL kit SRA-RTO-024 (in development, due March 2026)</w:t>
            </w:r>
          </w:p>
        </w:tc>
      </w:tr>
      <w:tr>
        <w:trPr>
          <w:cantSplit/>
        </w:trPr>
        <w:tc>
          <w:tcPr>
            <w:tcW w:type="dxa" w:w="19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TLIA0004, TLIA0015, TLIX0013X</w:t>
            </w:r>
          </w:p>
        </w:tc>
        <w:tc>
          <w:tcPr>
            <w:tcW w:type="dxa" w:w="50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Observation over a supervised inbound shift on docks 1 to 4 (check deliveries against dockets, record receipts, handle a discrepancy, organise putaway); work samples (receiving documents, damage and discrepancy reports); questioning; supervisor report. Mapped and judged per unit</w:t>
            </w:r>
          </w:p>
        </w:tc>
        <w:tc>
          <w:tcPr>
            <w:tcW w:type="dxa" w:w="28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Academy tools to be developed in 2026 under SRA-RTO-003 section 13, with an RPL tool for existing workers</w:t>
            </w:r>
          </w:p>
        </w:tc>
      </w:tr>
      <w:tr>
        <w:trPr>
          <w:cantSplit/>
        </w:trPr>
        <w:tc>
          <w:tcPr>
            <w:tcW w:type="dxa" w:w="19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Other units</w:t>
            </w:r>
          </w:p>
        </w:tc>
        <w:tc>
          <w:tcPr>
            <w:tcW w:type="dxa" w:w="5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Observation on shift, questioning and supervisor report, as set in each tool</w:t>
            </w:r>
          </w:p>
        </w:tc>
        <w:tc>
          <w:tcPr>
            <w:tcW w:type="dxa" w:w="28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Academy tools; each has a pre-use review before first use</w:t>
            </w:r>
          </w:p>
        </w:tc>
      </w:tr>
    </w:tbl>
    <w:p>
      <w:pPr>
        <w:keepNext/>
        <w:spacing w:before="200" w:after="80"/>
      </w:pPr>
      <w:r>
        <w:rPr>
          <w:rFonts w:ascii="Aptos Display" w:cs="Aptos Display" w:eastAsia="Aptos Display" w:hAnsi="Aptos Display"/>
          <w:b/>
          <w:bCs/>
          <w:color w:val="4F7F80"/>
          <w:sz w:val="24"/>
          <w:szCs w:val="24"/>
        </w:rPr>
        <w:t xml:space="preserve">8.2 Assessment resources</w:t>
      </w:r>
    </w:p>
    <w:p>
      <w:pPr>
        <w:spacing w:before="0" w:after="120" w:line="276"/>
      </w:pPr>
      <w:r>
        <w:rPr>
          <w:rFonts w:ascii="Aptos" w:cs="Aptos" w:eastAsia="Aptos" w:hAnsi="Aptos"/>
          <w:color w:val="1E2833"/>
          <w:sz w:val="20"/>
          <w:szCs w:val="20"/>
        </w:rPr>
        <w:t xml:space="preserve">Tools SRA-RTO-021 (TLID0020), SRA-RTO-022 (TLIF3003) and SRA-RTO-023 (TLIA0010); RPL kit SRA-RTO-024 (in development, due March 2026); picture cards (SRA-RTO-018 v2.0 and the SRA-RTO-023 card set); PPE (hi-vis vest, safety boots, gloves) for learners and assessors; hand pallet truck and live loads; RF scanners and the warehouse system; Training Room 1 for questioning; Academy tablet for filming; interpreters through People and Culture.</w:t>
      </w:r>
    </w:p>
    <w:p>
      <w:pPr>
        <w:keepNext/>
        <w:spacing w:before="200" w:after="80"/>
      </w:pPr>
      <w:r>
        <w:rPr>
          <w:rFonts w:ascii="Aptos Display" w:cs="Aptos Display" w:eastAsia="Aptos Display" w:hAnsi="Aptos Display"/>
          <w:b/>
          <w:bCs/>
          <w:color w:val="4F7F80"/>
          <w:sz w:val="24"/>
          <w:szCs w:val="24"/>
        </w:rPr>
        <w:t xml:space="preserve">8.3 Assessment rules</w:t>
      </w:r>
    </w:p>
    <w:p>
      <w:pPr>
        <w:pStyle w:val="ListParagraph"/>
        <w:numPr>
          <w:ilvl w:val="0"/>
          <w:numId w:val="2"/>
        </w:numPr>
        <w:spacing w:after="60" w:line="264"/>
      </w:pPr>
      <w:r>
        <w:rPr>
          <w:rFonts w:ascii="Aptos" w:cs="Aptos" w:eastAsia="Aptos" w:hAnsi="Aptos"/>
          <w:color w:val="1E2833"/>
          <w:sz w:val="20"/>
          <w:szCs w:val="20"/>
        </w:rPr>
        <w:t xml:space="preserve">Assessment follows SRA-RTO-003: written notice at least 5 business days before the first assessment event, a recorded briefing, customisation and adjustment recorded in Part 6 of the tool, feedback within 5 business days and up to two further attempts.</w:t>
      </w:r>
    </w:p>
    <w:p>
      <w:pPr>
        <w:pStyle w:val="ListParagraph"/>
        <w:numPr>
          <w:ilvl w:val="0"/>
          <w:numId w:val="2"/>
        </w:numPr>
        <w:spacing w:after="60" w:line="264"/>
      </w:pPr>
      <w:r>
        <w:rPr>
          <w:rFonts w:ascii="Aptos" w:cs="Aptos" w:eastAsia="Aptos" w:hAnsi="Aptos"/>
          <w:color w:val="1E2833"/>
          <w:sz w:val="20"/>
          <w:szCs w:val="20"/>
        </w:rPr>
        <w:t xml:space="preserve">Results go to Student Services within 5 business days of a final assessment.</w:t>
      </w:r>
    </w:p>
    <w:p>
      <w:pPr>
        <w:pStyle w:val="ListParagraph"/>
        <w:numPr>
          <w:ilvl w:val="0"/>
          <w:numId w:val="2"/>
        </w:numPr>
        <w:spacing w:after="60" w:line="264"/>
      </w:pPr>
      <w:r>
        <w:rPr>
          <w:rFonts w:ascii="Aptos" w:cs="Aptos" w:eastAsia="Aptos" w:hAnsi="Aptos"/>
          <w:color w:val="1E2833"/>
          <w:sz w:val="20"/>
          <w:szCs w:val="20"/>
        </w:rPr>
        <w:t xml:space="preserve">People working under direction (Credential Policy 1C or 1D) conduct assessment and collect evidence; the directing assessor makes and signs the judgement.</w:t>
      </w:r>
    </w:p>
    <w:p>
      <w:pPr>
        <w:pStyle w:val="ListParagraph"/>
        <w:numPr>
          <w:ilvl w:val="0"/>
          <w:numId w:val="2"/>
        </w:numPr>
        <w:spacing w:after="60" w:line="264"/>
      </w:pPr>
      <w:r>
        <w:rPr>
          <w:rFonts w:ascii="Aptos" w:cs="Aptos" w:eastAsia="Aptos" w:hAnsi="Aptos"/>
          <w:color w:val="1E2833"/>
          <w:sz w:val="20"/>
          <w:szCs w:val="20"/>
        </w:rPr>
        <w:t xml:space="preserve">Validation follows SRA-RTO-004 and the schedule in SRA-RTO-031. TLID0020, TLIF3003 and TLIA0010 are rated High risk for 2026.</w:t>
      </w:r>
    </w:p>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9. Delivery planning and amendments</w:t>
      </w:r>
    </w:p>
    <w:p>
      <w:pPr>
        <w:spacing w:before="0" w:after="120" w:line="276"/>
      </w:pPr>
      <w:r>
        <w:rPr>
          <w:rFonts w:ascii="Aptos" w:cs="Aptos" w:eastAsia="Aptos" w:hAnsi="Aptos"/>
          <w:color w:val="1E2833"/>
          <w:sz w:val="20"/>
          <w:szCs w:val="20"/>
        </w:rPr>
        <w:t xml:space="preserve">Before a unit is first delivered to a group, the trainer writes an overall delivery plan (SRA-RTO-012) and a session plan for each off-floor session (SRA-RTO-013). The trainer consults the Lead Trainer (sequence, TAS fit), the LLN lead (Leanne Okafor) and, for WHS units, the WHS Coordinator (Daniela Marquez), who checks the content matches current SteelRiver procedures. Plans show the unit release, version and date, and are approved by the Lead Trainer and filed on the Academy intranet. Plans are reviewed after the pre-training reviews, after each delivery, and after any change to the unit, SteelRiver procedures or the TAS.</w:t>
      </w:r>
    </w:p>
    <w:p>
      <w:pPr>
        <w:keepNext/>
        <w:spacing w:before="200" w:after="80"/>
      </w:pPr>
      <w:r>
        <w:rPr>
          <w:rFonts w:ascii="Aptos Display" w:cs="Aptos Display" w:eastAsia="Aptos Display" w:hAnsi="Aptos Display"/>
          <w:b/>
          <w:bCs/>
          <w:color w:val="4F7F80"/>
          <w:sz w:val="24"/>
          <w:szCs w:val="24"/>
        </w:rPr>
        <w:t xml:space="preserve">9.1 Recording plan changes</w:t>
      </w:r>
    </w:p>
    <w:p>
      <w:pPr>
        <w:spacing w:before="0" w:after="120" w:line="276"/>
      </w:pPr>
      <w:r>
        <w:rPr>
          <w:rFonts w:ascii="Aptos" w:cs="Aptos" w:eastAsia="Aptos" w:hAnsi="Aptos"/>
          <w:color w:val="1E2833"/>
          <w:sz w:val="20"/>
          <w:szCs w:val="20"/>
        </w:rPr>
        <w:t xml:space="preserve">Trainers deliver from the approved delivery plan and session plans.</w:t>
      </w:r>
    </w:p>
    <w:p>
      <w:pPr>
        <w:pStyle w:val="ListParagraph"/>
        <w:numPr>
          <w:ilvl w:val="0"/>
          <w:numId w:val="2"/>
        </w:numPr>
        <w:spacing w:after="60" w:line="264"/>
      </w:pPr>
      <w:r>
        <w:rPr>
          <w:rFonts w:ascii="Aptos" w:cs="Aptos" w:eastAsia="Aptos" w:hAnsi="Aptos"/>
          <w:color w:val="1E2833"/>
          <w:sz w:val="20"/>
          <w:szCs w:val="20"/>
        </w:rPr>
        <w:t xml:space="preserve">A trainer may customise an approved session plan for a group or an individual (methods, activities, resources, timing within the session, support) without changing the outcomes, content coverage or assessment link.</w:t>
      </w:r>
    </w:p>
    <w:p>
      <w:pPr>
        <w:pStyle w:val="ListParagraph"/>
        <w:numPr>
          <w:ilvl w:val="0"/>
          <w:numId w:val="2"/>
        </w:numPr>
        <w:spacing w:after="60" w:line="264"/>
      </w:pPr>
      <w:r>
        <w:rPr>
          <w:rFonts w:ascii="Aptos" w:cs="Aptos" w:eastAsia="Aptos" w:hAnsi="Aptos"/>
          <w:color w:val="1E2833"/>
          <w:sz w:val="20"/>
          <w:szCs w:val="20"/>
        </w:rPr>
        <w:t xml:space="preserve">The trainer records each amendment in the amendment box of the session plan (date, what changed, why, initials), saves it as a new minor version (for example v1.1) in the Academy intranet planning folder and notes it on the session record (SRA-RTO-045).</w:t>
      </w:r>
    </w:p>
    <w:p>
      <w:pPr>
        <w:pStyle w:val="ListParagraph"/>
        <w:numPr>
          <w:ilvl w:val="0"/>
          <w:numId w:val="2"/>
        </w:numPr>
        <w:spacing w:after="60" w:line="264"/>
      </w:pPr>
      <w:r>
        <w:rPr>
          <w:rFonts w:ascii="Aptos" w:cs="Aptos" w:eastAsia="Aptos" w:hAnsi="Aptos"/>
          <w:color w:val="1E2833"/>
          <w:sz w:val="20"/>
          <w:szCs w:val="20"/>
        </w:rPr>
        <w:t xml:space="preserve">A change to the approved content, sequence, duration or assessment link needs the Lead Trainer's approval and goes on the continuous improvement register (SRA-RTO-002).</w:t>
      </w:r>
    </w:p>
    <w:p>
      <w:pPr>
        <w:pStyle w:val="ListParagraph"/>
        <w:numPr>
          <w:ilvl w:val="0"/>
          <w:numId w:val="2"/>
        </w:numPr>
        <w:spacing w:after="60" w:line="264"/>
      </w:pPr>
      <w:r>
        <w:rPr>
          <w:rFonts w:ascii="Aptos" w:cs="Aptos" w:eastAsia="Aptos" w:hAnsi="Aptos"/>
          <w:color w:val="1E2833"/>
          <w:sz w:val="20"/>
          <w:szCs w:val="20"/>
        </w:rPr>
        <w:t xml:space="preserve">A change to the TAS needs the Academy Manager.</w:t>
      </w:r>
    </w:p>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10. Learner support</w:t>
      </w:r>
    </w:p>
    <w:p>
      <w:pPr>
        <w:spacing w:before="0" w:after="120" w:line="276"/>
      </w:pPr>
      <w:r>
        <w:rPr>
          <w:rFonts w:ascii="Aptos" w:cs="Aptos" w:eastAsia="Aptos" w:hAnsi="Aptos"/>
          <w:color w:val="1E2833"/>
          <w:sz w:val="20"/>
          <w:szCs w:val="20"/>
        </w:rPr>
        <w:t xml:space="preserve">Pre-training review of language, literacy, numeracy and digital skills (SRA-RTO-007); LLN support plans; picture cards; buddy support on shift; interpreters booked through People and Culture with one week's notice; reasonable adjustment for learners with disability (SRA-RTO-006; Standards 2.3 and 2.4). Wellbeing concerns go to the Academy Manager and the EAP (SRL-CR-053, 1800-SRL-EAP).</w:t>
      </w:r>
    </w:p>
    <w:p>
      <w:pPr>
        <w:pStyle w:val="ListParagraph"/>
        <w:numPr>
          <w:ilvl w:val="0"/>
          <w:numId w:val="2"/>
        </w:numPr>
        <w:spacing w:after="60" w:line="264"/>
      </w:pPr>
      <w:r>
        <w:rPr>
          <w:rFonts w:ascii="Aptos" w:cs="Aptos" w:eastAsia="Aptos" w:hAnsi="Aptos"/>
          <w:color w:val="1E2833"/>
          <w:sz w:val="20"/>
          <w:szCs w:val="20"/>
        </w:rPr>
        <w:t xml:space="preserve">Peer language support: Linh Nguyen for Vietnamese speakers.</w:t>
      </w:r>
    </w:p>
    <w:p>
      <w:pPr>
        <w:pStyle w:val="ListParagraph"/>
        <w:numPr>
          <w:ilvl w:val="0"/>
          <w:numId w:val="2"/>
        </w:numPr>
        <w:spacing w:after="60" w:line="264"/>
      </w:pPr>
      <w:r>
        <w:rPr>
          <w:rFonts w:ascii="Aptos" w:cs="Aptos" w:eastAsia="Aptos" w:hAnsi="Aptos"/>
          <w:color w:val="1E2833"/>
          <w:sz w:val="20"/>
          <w:szCs w:val="20"/>
        </w:rPr>
        <w:t xml:space="preserve">Handouts are given a few days ahead where a learner's plan asks for it, in plain English with pictures.</w:t>
      </w:r>
    </w:p>
    <w:p>
      <w:pPr>
        <w:pStyle w:val="ListParagraph"/>
        <w:numPr>
          <w:ilvl w:val="0"/>
          <w:numId w:val="2"/>
        </w:numPr>
        <w:spacing w:after="60" w:line="264"/>
      </w:pPr>
      <w:r>
        <w:rPr>
          <w:rFonts w:ascii="Aptos" w:cs="Aptos" w:eastAsia="Aptos" w:hAnsi="Aptos"/>
          <w:color w:val="1E2833"/>
          <w:sz w:val="20"/>
          <w:szCs w:val="20"/>
        </w:rPr>
        <w:t xml:space="preserve">Learners are told at enrolment and in the Learner Handbook (SRA-RTO-010) how to raise a complaint or appeal (SRA-RTO-008).</w:t>
      </w:r>
    </w:p>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11. Sustainability</w:t>
      </w:r>
    </w:p>
    <w:p>
      <w:pPr>
        <w:spacing w:before="0" w:after="120" w:line="276"/>
      </w:pPr>
      <w:r>
        <w:rPr>
          <w:rFonts w:ascii="Aptos" w:cs="Aptos" w:eastAsia="Aptos" w:hAnsi="Aptos"/>
          <w:color w:val="1E2833"/>
          <w:sz w:val="20"/>
          <w:szCs w:val="20"/>
        </w:rPr>
        <w:t xml:space="preserve">Print only what learners need; reusable laminated picture-card sets; digital copies on the intranet; reuse the training bay sample loads; schedule sessions inside or next to shifts so no one makes an extra trip to site.</w:t>
      </w:r>
    </w:p>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12. Trainers and assessors</w:t>
      </w:r>
    </w:p>
    <w:p>
      <w:pPr>
        <w:spacing w:before="0" w:after="120" w:line="276"/>
      </w:pPr>
      <w:r>
        <w:rPr>
          <w:rFonts w:ascii="Aptos" w:cs="Aptos" w:eastAsia="Aptos" w:hAnsi="Aptos"/>
          <w:color w:val="1E2833"/>
          <w:sz w:val="20"/>
          <w:szCs w:val="20"/>
        </w:rPr>
        <w:t xml:space="preserve">Craig Moretti, Leanne Okafor and the Trainer and Assessor (TA-03). Credentials in SRA-RTO-041. Trainers deliver and assess only units for which SRA-RTO-041 records vocational competency and current industry skills (Standard 3.3).</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00"/>
        <w:gridCol w:w="2600"/>
        <w:gridCol w:w="3952"/>
      </w:tblGrid>
      <w:tr>
        <w:trPr>
          <w:cantSplit/>
          <w:tblHeader/>
        </w:trPr>
        <w:tc>
          <w:tcPr>
            <w:tcW w:type="dxa" w:w="32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Trainer</w:t>
            </w:r>
          </w:p>
        </w:tc>
        <w:tc>
          <w:tcPr>
            <w:tcW w:type="dxa" w:w="26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Credential (Credential Policy)</w:t>
            </w:r>
          </w:p>
        </w:tc>
        <w:tc>
          <w:tcPr>
            <w:tcW w:type="dxa" w:w="3952"/>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Role in this program</w:t>
            </w:r>
          </w:p>
        </w:tc>
      </w:tr>
      <w:tr>
        <w:trPr>
          <w:cantSplit/>
        </w:trPr>
        <w:tc>
          <w:tcPr>
            <w:tcW w:type="dxa" w:w="32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Craig Moretti, Lead Trainer and Assessor</w:t>
            </w:r>
          </w:p>
        </w:tc>
        <w:tc>
          <w:tcPr>
            <w:tcW w:type="dxa" w:w="2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TAE40122: 1A and 1E</w:t>
            </w:r>
          </w:p>
        </w:tc>
        <w:tc>
          <w:tcPr>
            <w:tcW w:type="dxa" w:w="39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Trains and assesses all units without direction; gives direction and makes the judgements on evidence collected under direction; owns this TAS</w:t>
            </w:r>
          </w:p>
        </w:tc>
      </w:tr>
      <w:tr>
        <w:trPr>
          <w:cantSplit/>
        </w:trPr>
        <w:tc>
          <w:tcPr>
            <w:tcW w:type="dxa" w:w="32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Leanne Okafor, Trainer and Assessor</w:t>
            </w:r>
          </w:p>
        </w:tc>
        <w:tc>
          <w:tcPr>
            <w:tcW w:type="dxa" w:w="2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TAE40116: 1A</w:t>
            </w:r>
          </w:p>
        </w:tc>
        <w:tc>
          <w:tcPr>
            <w:tcW w:type="dxa" w:w="39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Trains and assesses; LLN lead (pre-training reviews, LLN support plans, picture-card resources)</w:t>
            </w:r>
          </w:p>
        </w:tc>
      </w:tr>
      <w:tr>
        <w:trPr>
          <w:cantSplit/>
        </w:trPr>
        <w:tc>
          <w:tcPr>
            <w:tcW w:type="dxa" w:w="32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Trainer and Assessor (TA-03)</w:t>
            </w:r>
          </w:p>
        </w:tc>
        <w:tc>
          <w:tcPr>
            <w:tcW w:type="dxa" w:w="2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Working towards TAE40122: 1C</w:t>
            </w:r>
          </w:p>
        </w:tc>
        <w:tc>
          <w:tcPr>
            <w:tcW w:type="dxa" w:w="39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Trains, conducts assessment and collects evidence under Craig Moretti's direction</w:t>
            </w:r>
          </w:p>
        </w:tc>
      </w:tr>
      <w:tr>
        <w:trPr>
          <w:cantSplit/>
        </w:trPr>
        <w:tc>
          <w:tcPr>
            <w:tcW w:type="dxa" w:w="32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Rohan Desai, Quality and Compliance Coordinator</w:t>
            </w:r>
          </w:p>
        </w:tc>
        <w:tc>
          <w:tcPr>
            <w:tcW w:type="dxa" w:w="2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TAE40122: 1A, 1E and 3A</w:t>
            </w:r>
          </w:p>
        </w:tc>
        <w:tc>
          <w:tcPr>
            <w:tcW w:type="dxa" w:w="39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Assesses where needed; leads pre-use review and validation</w:t>
            </w:r>
          </w:p>
        </w:tc>
      </w:tr>
    </w:tbl>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13. Industry engagement</w:t>
      </w:r>
    </w:p>
    <w:p>
      <w:pPr>
        <w:spacing w:before="0" w:after="120" w:line="276"/>
      </w:pPr>
      <w:r>
        <w:rPr>
          <w:rFonts w:ascii="Aptos" w:cs="Aptos" w:eastAsia="Aptos" w:hAnsi="Aptos"/>
          <w:color w:val="1E2833"/>
          <w:sz w:val="20"/>
          <w:szCs w:val="20"/>
        </w:rPr>
        <w:t xml:space="preserve">The Academy holds an industry engagement session twice a year with Perth DC operations and WHS (SRA-RTO-014). Advice from the sessions of 16 July and 19 November 2025 shaped this version.</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300"/>
        <w:gridCol w:w="5452"/>
      </w:tblGrid>
      <w:tr>
        <w:trPr>
          <w:cantSplit/>
          <w:tblHeader/>
        </w:trPr>
        <w:tc>
          <w:tcPr>
            <w:tcW w:type="dxa" w:w="43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Advice (session)</w:t>
            </w:r>
          </w:p>
        </w:tc>
        <w:tc>
          <w:tcPr>
            <w:tcW w:type="dxa" w:w="5452"/>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What changed in this TAS</w:t>
            </w:r>
          </w:p>
        </w:tc>
      </w:tr>
      <w:tr>
        <w:trPr>
          <w:cantSplit/>
        </w:trPr>
        <w:tc>
          <w:tcPr>
            <w:tcW w:type="dxa" w:w="4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8-hour roster; avoid the inbound peaks (Michael Tran, 16 July 2025)</w:t>
            </w:r>
          </w:p>
        </w:tc>
        <w:tc>
          <w:tcPr>
            <w:tcW w:type="dxa" w:w="54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Sessions inside or next to shifts; fixed release roster away from the 12:30 to 15:30 peak at docks 1 to 4 (section 7)</w:t>
            </w:r>
          </w:p>
        </w:tc>
      </w:tr>
      <w:tr>
        <w:trPr>
          <w:cantSplit/>
        </w:trPr>
        <w:tc>
          <w:tcPr>
            <w:tcW w:type="dxa" w:w="4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Stock locations renumbered in June 2025 (Naomi Pereira, 16 July 2025)</w:t>
            </w:r>
          </w:p>
        </w:tc>
        <w:tc>
          <w:tcPr>
            <w:tcW w:type="dxa" w:w="54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TLIA0010 tool revised (SRA-RTO-023 v2.0); resources use the row-bay-level format</w:t>
            </w:r>
          </w:p>
        </w:tc>
      </w:tr>
      <w:tr>
        <w:trPr>
          <w:cantSplit/>
        </w:trPr>
        <w:tc>
          <w:tcPr>
            <w:tcW w:type="dxa" w:w="4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Manual handling the most common injury; casuals over-represented (Daniela Marquez, 19 November 2025)</w:t>
            </w:r>
          </w:p>
        </w:tc>
        <w:tc>
          <w:tcPr>
            <w:tcW w:type="dxa" w:w="54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TLID0020 first in the sequence on SteelRiver loads; single-unit TLID0020 for casuals (section 2.3)</w:t>
            </w:r>
          </w:p>
        </w:tc>
      </w:tr>
      <w:tr>
        <w:trPr>
          <w:cantSplit/>
        </w:trPr>
        <w:tc>
          <w:tcPr>
            <w:tcW w:type="dxa" w:w="4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Receiving errors and stock accuracy (Michael Tran and Priya Kaur, 19 November 2025)</w:t>
            </w:r>
          </w:p>
        </w:tc>
        <w:tc>
          <w:tcPr>
            <w:tcW w:type="dxa" w:w="54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TLIX0013X added to complete Group B; receiving cluster in Term 3 with the Inventory Coordinator (sections 1 and 4)</w:t>
            </w:r>
          </w:p>
        </w:tc>
      </w:tr>
      <w:tr>
        <w:trPr>
          <w:cantSplit/>
        </w:trPr>
        <w:tc>
          <w:tcPr>
            <w:tcW w:type="dxa" w:w="4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Traffic rules before the floor (Daniela Marquez, 19 November 2025)</w:t>
            </w:r>
          </w:p>
        </w:tc>
        <w:tc>
          <w:tcPr>
            <w:tcW w:type="dxa" w:w="54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TLIF3003 and the traffic rules in Term 1; training bay rules (section 6)</w:t>
            </w:r>
          </w:p>
        </w:tc>
      </w:tr>
      <w:tr>
        <w:trPr>
          <w:cantSplit/>
        </w:trPr>
        <w:tc>
          <w:tcPr>
            <w:tcW w:type="dxa" w:w="4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Qualification and a path to leading hand (Lisa Anand, 19 November 2025)</w:t>
            </w:r>
          </w:p>
        </w:tc>
        <w:tc>
          <w:tcPr>
            <w:tcW w:type="dxa" w:w="54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Full TLI30325 for new permanent starters</w:t>
            </w:r>
          </w:p>
        </w:tc>
      </w:tr>
    </w:tbl>
    <w:p>
      <w:pPr>
        <w:spacing w:before="120" w:after="120" w:line="276"/>
      </w:pPr>
      <w:r>
        <w:rPr>
          <w:rFonts w:ascii="Aptos" w:cs="Aptos" w:eastAsia="Aptos" w:hAnsi="Aptos"/>
          <w:color w:val="1E2833"/>
          <w:sz w:val="20"/>
          <w:szCs w:val="20"/>
        </w:rPr>
        <w:t xml:space="preserve">Next sessions: July and November 2026.</w:t>
      </w:r>
    </w:p>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14. Review of this TAS</w:t>
      </w:r>
    </w:p>
    <w:p>
      <w:pPr>
        <w:pStyle w:val="ListParagraph"/>
        <w:numPr>
          <w:ilvl w:val="0"/>
          <w:numId w:val="2"/>
        </w:numPr>
        <w:spacing w:after="60" w:line="264"/>
      </w:pPr>
      <w:r>
        <w:rPr>
          <w:rFonts w:ascii="Aptos" w:cs="Aptos" w:eastAsia="Aptos" w:hAnsi="Aptos"/>
          <w:color w:val="1E2833"/>
          <w:sz w:val="20"/>
          <w:szCs w:val="20"/>
        </w:rPr>
        <w:t xml:space="preserve">The TAS is reviewed every 12 months, and sooner after any change to TLI30325 or its units, industry feedback, a validation finding, learner feedback or a change to SteelRiver procedures.</w:t>
      </w:r>
    </w:p>
    <w:p>
      <w:pPr>
        <w:pStyle w:val="ListParagraph"/>
        <w:numPr>
          <w:ilvl w:val="0"/>
          <w:numId w:val="2"/>
        </w:numPr>
        <w:spacing w:after="60" w:line="264"/>
      </w:pPr>
      <w:r>
        <w:rPr>
          <w:rFonts w:ascii="Aptos" w:cs="Aptos" w:eastAsia="Aptos" w:hAnsi="Aptos"/>
          <w:color w:val="1E2833"/>
          <w:sz w:val="20"/>
          <w:szCs w:val="20"/>
        </w:rPr>
        <w:t xml:space="preserve">The Lead Trainer reviews the TAS with the trainers and presents changes to the Quality Committee. The Academy Manager approves every new version (SRL-CR-019 version control).</w:t>
      </w:r>
    </w:p>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15. Standards and related documents</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6000"/>
        <w:gridCol w:w="3752"/>
      </w:tblGrid>
      <w:tr>
        <w:trPr>
          <w:cantSplit/>
          <w:tblHeader/>
        </w:trPr>
        <w:tc>
          <w:tcPr>
            <w:tcW w:type="dxa" w:w="60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Requirement</w:t>
            </w:r>
          </w:p>
        </w:tc>
        <w:tc>
          <w:tcPr>
            <w:tcW w:type="dxa" w:w="3752"/>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Where this TAS meets it</w:t>
            </w:r>
          </w:p>
        </w:tc>
      </w:tr>
      <w:tr>
        <w:trPr>
          <w:cantSplit/>
        </w:trPr>
        <w:tc>
          <w:tcPr>
            <w:tcW w:type="dxa" w:w="6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Standard 1.1: training is structured and paced, with time for instruction, practice, feedback and assessment, consistent with the training product</w:t>
            </w:r>
          </w:p>
        </w:tc>
        <w:tc>
          <w:tcPr>
            <w:tcW w:type="dxa" w:w="3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Sections 1 to 5, 9</w:t>
            </w:r>
          </w:p>
        </w:tc>
      </w:tr>
      <w:tr>
        <w:trPr>
          <w:cantSplit/>
        </w:trPr>
        <w:tc>
          <w:tcPr>
            <w:tcW w:type="dxa" w:w="60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Standard 1.2: industry engagement informs training and assessment</w:t>
            </w:r>
          </w:p>
        </w:tc>
        <w:tc>
          <w:tcPr>
            <w:tcW w:type="dxa" w:w="37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Section 13</w:t>
            </w:r>
          </w:p>
        </w:tc>
      </w:tr>
      <w:tr>
        <w:trPr>
          <w:cantSplit/>
        </w:trPr>
        <w:tc>
          <w:tcPr>
            <w:tcW w:type="dxa" w:w="6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Standards 1.3 to 1.5: assessment tools, conduct and validation</w:t>
            </w:r>
          </w:p>
        </w:tc>
        <w:tc>
          <w:tcPr>
            <w:tcW w:type="dxa" w:w="3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Section 8 (with SRA-RTO-003, SRA-RTO-004)</w:t>
            </w:r>
          </w:p>
        </w:tc>
      </w:tr>
      <w:tr>
        <w:trPr>
          <w:cantSplit/>
        </w:trPr>
        <w:tc>
          <w:tcPr>
            <w:tcW w:type="dxa" w:w="60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Standard 1.8: facilities, resources and workplace learning are safe and sufficient</w:t>
            </w:r>
          </w:p>
        </w:tc>
        <w:tc>
          <w:tcPr>
            <w:tcW w:type="dxa" w:w="37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Section 6</w:t>
            </w:r>
          </w:p>
        </w:tc>
      </w:tr>
      <w:tr>
        <w:trPr>
          <w:cantSplit/>
        </w:trPr>
        <w:tc>
          <w:tcPr>
            <w:tcW w:type="dxa" w:w="6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Standards 2.2 to 2.4: pre-training review, learner support and reasonable adjustment</w:t>
            </w:r>
          </w:p>
        </w:tc>
        <w:tc>
          <w:tcPr>
            <w:tcW w:type="dxa" w:w="3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Sections 2 and 10</w:t>
            </w:r>
          </w:p>
        </w:tc>
      </w:tr>
      <w:tr>
        <w:trPr>
          <w:cantSplit/>
        </w:trPr>
        <w:tc>
          <w:tcPr>
            <w:tcW w:type="dxa" w:w="60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Standard 3.3 and the Credential Policy: trainers and assessors</w:t>
            </w:r>
          </w:p>
        </w:tc>
        <w:tc>
          <w:tcPr>
            <w:tcW w:type="dxa" w:w="37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Section 12</w:t>
            </w:r>
          </w:p>
        </w:tc>
      </w:tr>
    </w:tbl>
    <w:p>
      <w:pPr>
        <w:spacing w:before="120" w:after="120" w:line="276"/>
      </w:pPr>
      <w:r>
        <w:rPr>
          <w:rFonts w:ascii="Aptos" w:cs="Aptos" w:eastAsia="Aptos" w:hAnsi="Aptos"/>
          <w:color w:val="1E2833"/>
          <w:sz w:val="20"/>
          <w:szCs w:val="20"/>
        </w:rPr>
        <w:t xml:space="preserve">Related documents: SRA-RTO-002, SRA-RTO-003, SRA-RTO-004, SRA-RTO-005, SRA-RTO-006, SRA-RTO-007, SRA-RTO-010, SRA-RTO-012, SRA-RTO-013, SRA-RTO-014, SRA-RTO-021, SRA-RTO-022, SRA-RTO-023, SRA-RTO-024, SRA-RTO-029, SRA-RTO-031, SRA-RTO-041, SRA-RTO-045 and SRA-RTO-046; SRL-CR-036, SRL-CR-042, SRL-CR-043, SRL-CR-046, SRL-CR-047, SRL-CR-048, SRL-CR-053 and SRL-CR-161.</w:t>
      </w:r>
    </w:p>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Document history</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100"/>
        <w:gridCol w:w="1700"/>
        <w:gridCol w:w="4800"/>
        <w:gridCol w:w="2152"/>
      </w:tblGrid>
      <w:tr>
        <w:trPr>
          <w:cantSplit/>
          <w:tblHeader/>
        </w:trPr>
        <w:tc>
          <w:tcPr>
            <w:tcW w:type="dxa" w:w="11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Version</w:t>
            </w:r>
          </w:p>
        </w:tc>
        <w:tc>
          <w:tcPr>
            <w:tcW w:type="dxa" w:w="17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Date</w:t>
            </w:r>
          </w:p>
        </w:tc>
        <w:tc>
          <w:tcPr>
            <w:tcW w:type="dxa" w:w="48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Summary of change</w:t>
            </w:r>
          </w:p>
        </w:tc>
        <w:tc>
          <w:tcPr>
            <w:tcW w:type="dxa" w:w="2152"/>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Approved by</w:t>
            </w:r>
          </w:p>
        </w:tc>
      </w:tr>
      <w:tr>
        <w:trPr>
          <w:cantSplit/>
        </w:trPr>
        <w:tc>
          <w:tcPr>
            <w:tcW w:type="dxa" w:w="11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3.0</w:t>
            </w:r>
          </w:p>
        </w:tc>
        <w:tc>
          <w:tcPr>
            <w:tcW w:type="dxa" w:w="1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Tuesday 10 February 2026</w:t>
            </w:r>
          </w:p>
        </w:tc>
        <w:tc>
          <w:tcPr>
            <w:tcW w:type="dxa" w:w="48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Section 6: training bay rules agreed by Daniela Marquez and Craig Moretti added. Section 7: fixed release roster per shift after Michael Tran's email of 9 February 2026.</w:t>
            </w:r>
          </w:p>
        </w:tc>
        <w:tc>
          <w:tcPr>
            <w:tcW w:type="dxa" w:w="2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Gemma Whitfield</w:t>
            </w:r>
          </w:p>
        </w:tc>
      </w:tr>
      <w:tr>
        <w:trPr>
          <w:cantSplit/>
        </w:trPr>
        <w:tc>
          <w:tcPr>
            <w:tcW w:type="dxa" w:w="11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3.0</w:t>
            </w:r>
          </w:p>
        </w:tc>
        <w:tc>
          <w:tcPr>
            <w:tcW w:type="dxa" w:w="17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Monday 2 February 2026</w:t>
            </w:r>
          </w:p>
        </w:tc>
        <w:tc>
          <w:tcPr>
            <w:tcW w:type="dxa" w:w="48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Approved for Intake 2026-01. Package corrected: TLIX0013X added so Group B has all 4 units; HLTAID011 removed. Single-unit TLID0020 for casuals added (2.3). Amount of training per unit set at the WA nominal hours, about 460 hours in total (sections 3 and 5). Delivery planning and amendment rules (section 9), learner support and sustainability sections added.</w:t>
            </w:r>
          </w:p>
        </w:tc>
        <w:tc>
          <w:tcPr>
            <w:tcW w:type="dxa" w:w="21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Gemma Whitfield</w:t>
            </w:r>
          </w:p>
        </w:tc>
      </w:tr>
      <w:tr>
        <w:trPr>
          <w:cantSplit/>
        </w:trPr>
        <w:tc>
          <w:tcPr>
            <w:tcW w:type="dxa" w:w="11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2.9 DRAFT</w:t>
            </w:r>
          </w:p>
        </w:tc>
        <w:tc>
          <w:tcPr>
            <w:tcW w:type="dxa" w:w="1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January 2026</w:t>
            </w:r>
          </w:p>
        </w:tc>
        <w:tc>
          <w:tcPr>
            <w:tcW w:type="dxa" w:w="48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Working draft (not approved).</w:t>
            </w:r>
          </w:p>
        </w:tc>
        <w:tc>
          <w:tcPr>
            <w:tcW w:type="dxa" w:w="2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Pr>
        <w:tc>
          <w:tcPr>
            <w:tcW w:type="dxa" w:w="11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2.0</w:t>
            </w:r>
          </w:p>
        </w:tc>
        <w:tc>
          <w:tcPr>
            <w:tcW w:type="dxa" w:w="17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2025</w:t>
            </w:r>
          </w:p>
        </w:tc>
        <w:tc>
          <w:tcPr>
            <w:tcW w:type="dxa" w:w="48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Rewritten for TLI30325 Release 1 when it replaced TLI30321 on the Academy's scope.</w:t>
            </w:r>
          </w:p>
        </w:tc>
        <w:tc>
          <w:tcPr>
            <w:tcW w:type="dxa" w:w="21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Gemma Whitfield</w:t>
            </w:r>
          </w:p>
        </w:tc>
      </w:tr>
      <w:tr>
        <w:trPr>
          <w:cantSplit/>
        </w:trPr>
        <w:tc>
          <w:tcPr>
            <w:tcW w:type="dxa" w:w="11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1.0</w:t>
            </w:r>
          </w:p>
        </w:tc>
        <w:tc>
          <w:tcPr>
            <w:tcW w:type="dxa" w:w="1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March 2022</w:t>
            </w:r>
          </w:p>
        </w:tc>
        <w:tc>
          <w:tcPr>
            <w:tcW w:type="dxa" w:w="48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First TAS (TLI30321) on initial registration.</w:t>
            </w:r>
          </w:p>
        </w:tc>
        <w:tc>
          <w:tcPr>
            <w:tcW w:type="dxa" w:w="2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Gemma Whitfield</w:t>
            </w:r>
          </w:p>
        </w:tc>
      </w:tr>
    </w:tbl>
    <w:sectPr>
      <w:headerReference w:type="default" r:id="rId6"/>
      <w:headerReference w:type="first" r:id="rId7"/>
      <w:footerReference w:type="default" r:id="rId8"/>
      <w:footerReference w:type="first" r:id="rId9"/>
      <w:pgSz w:w="11906" w:h="16838" w:orient="portrait"/>
      <w:pgMar w:top="1000" w:right="1077" w:bottom="1100" w:left="1077" w:header="480" w:footer="400" w:gutter="0"/>
      <w:pgNumType/>
      <w:titlePg/>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BFD6D4" w:sz="4" w:space="6"/>
      </w:pBdr>
      <w:tabs>
        <w:tab w:val="right" w:pos="9752"/>
      </w:tabs>
    </w:pPr>
    <w:r>
      <w:rPr>
        <w:rFonts w:ascii="Aptos" w:cs="Aptos" w:eastAsia="Aptos" w:hAnsi="Aptos"/>
        <w:color w:val="5F6B77"/>
        <w:sz w:val="14"/>
        <w:szCs w:val="14"/>
      </w:rPr>
      <w:t xml:space="preserve">SteelRiver Academy, RTO 99999 (simulated)  ·  SRA-RTO-011 Version 3.0  ·  Uncontrolled when printed</w:t>
    </w:r>
    <w:r>
      <w:rPr>
        <w:rFonts w:ascii="Aptos" w:cs="Aptos" w:eastAsia="Aptos" w:hAnsi="Aptos"/>
        <w:color w:val="0E4D4F"/>
        <w:sz w:val="14"/>
        <w:szCs w:val="14"/>
      </w:rPr>
      <w:t xml:space="preserve">	Page </w:t>
    </w:r>
    <w:r>
      <w:rPr>
        <w:rFonts w:ascii="Aptos" w:cs="Aptos" w:eastAsia="Aptos" w:hAnsi="Aptos"/>
        <w:b/>
        <w:bCs/>
        <w:color w:val="0E4D4F"/>
        <w:sz w:val="14"/>
        <w:szCs w:val="14"/>
      </w:rPr>
      <w:fldChar w:fldCharType="begin"/>
      <w:instrText xml:space="preserve">PAGE</w:instrText>
      <w:fldChar w:fldCharType="separate"/>
      <w:fldChar w:fldCharType="end"/>
    </w:r>
    <w:r>
      <w:rPr>
        <w:rFonts w:ascii="Aptos" w:cs="Aptos" w:eastAsia="Aptos" w:hAnsi="Aptos"/>
        <w:color w:val="0E4D4F"/>
        <w:sz w:val="14"/>
        <w:szCs w:val="14"/>
      </w:rPr>
      <w:t xml:space="preserve"> of </w:t>
    </w:r>
    <w:r>
      <w:rPr>
        <w:rFonts w:ascii="Aptos" w:cs="Aptos" w:eastAsia="Aptos" w:hAnsi="Aptos"/>
        <w:b/>
        <w:bCs/>
        <w:color w:val="0E4D4F"/>
        <w:sz w:val="14"/>
        <w:szCs w:val="14"/>
      </w:rPr>
      <w:fldChar w:fldCharType="begin"/>
      <w:instrText xml:space="preserve">NUMPAGES</w:instrText>
      <w:fldChar w:fldCharType="separate"/>
      <w:fldChar w:fldCharType="end"/>
    </w:r>
  </w:p>
  <w:p>
    <w:pPr>
      <w:spacing w:before="0" w:after="0" w:line="276"/>
    </w:pPr>
    <w:r>
      <w:rPr>
        <w:rFonts w:ascii="Aptos" w:cs="Aptos" w:eastAsia="Aptos" w:hAnsi="Aptos"/>
        <w:i/>
        <w:iCs/>
        <w:color w:val="4F7F80"/>
        <w:sz w:val="13"/>
        <w:szCs w:val="13"/>
      </w:rPr>
      <w:t xml:space="preserve">Simulated RTO. Created by Training Worx Australia (RTO 52508) for TAE40122 assessment purposes only.</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BFD6D4" w:sz="4" w:space="6"/>
      </w:pBdr>
      <w:tabs>
        <w:tab w:val="right" w:pos="9752"/>
      </w:tabs>
    </w:pPr>
    <w:r>
      <w:rPr>
        <w:rFonts w:ascii="Aptos" w:cs="Aptos" w:eastAsia="Aptos" w:hAnsi="Aptos"/>
        <w:color w:val="5F6B77"/>
        <w:sz w:val="14"/>
        <w:szCs w:val="14"/>
      </w:rPr>
      <w:t xml:space="preserve">SteelRiver Academy, RTO 99999 (simulated)  ·  SRA-RTO-011 Version 3.0  ·  Uncontrolled when printed</w:t>
    </w:r>
    <w:r>
      <w:rPr>
        <w:rFonts w:ascii="Aptos" w:cs="Aptos" w:eastAsia="Aptos" w:hAnsi="Aptos"/>
        <w:color w:val="0E4D4F"/>
        <w:sz w:val="14"/>
        <w:szCs w:val="14"/>
      </w:rPr>
      <w:t xml:space="preserve">	Page </w:t>
    </w:r>
    <w:r>
      <w:rPr>
        <w:rFonts w:ascii="Aptos" w:cs="Aptos" w:eastAsia="Aptos" w:hAnsi="Aptos"/>
        <w:b/>
        <w:bCs/>
        <w:color w:val="0E4D4F"/>
        <w:sz w:val="14"/>
        <w:szCs w:val="14"/>
      </w:rPr>
      <w:fldChar w:fldCharType="begin"/>
      <w:instrText xml:space="preserve">PAGE</w:instrText>
      <w:fldChar w:fldCharType="separate"/>
      <w:fldChar w:fldCharType="end"/>
    </w:r>
    <w:r>
      <w:rPr>
        <w:rFonts w:ascii="Aptos" w:cs="Aptos" w:eastAsia="Aptos" w:hAnsi="Aptos"/>
        <w:color w:val="0E4D4F"/>
        <w:sz w:val="14"/>
        <w:szCs w:val="14"/>
      </w:rPr>
      <w:t xml:space="preserve"> of </w:t>
    </w:r>
    <w:r>
      <w:rPr>
        <w:rFonts w:ascii="Aptos" w:cs="Aptos" w:eastAsia="Aptos" w:hAnsi="Aptos"/>
        <w:b/>
        <w:bCs/>
        <w:color w:val="0E4D4F"/>
        <w:sz w:val="14"/>
        <w:szCs w:val="14"/>
      </w:rPr>
      <w:fldChar w:fldCharType="begin"/>
      <w:instrText xml:space="preserve">NUMPAGES</w:instrText>
      <w:fldChar w:fldCharType="separate"/>
      <w:fldChar w:fldCharType="end"/>
    </w:r>
  </w:p>
  <w:p>
    <w:pPr>
      <w:spacing w:before="0" w:after="0" w:line="276"/>
    </w:pPr>
    <w:r>
      <w:rPr>
        <w:rFonts w:ascii="Aptos" w:cs="Aptos" w:eastAsia="Aptos" w:hAnsi="Aptos"/>
        <w:i/>
        <w:iCs/>
        <w:color w:val="4F7F80"/>
        <w:sz w:val="13"/>
        <w:szCs w:val="13"/>
      </w:rPr>
      <w:t xml:space="preserve">Simulated RTO. Created by Training Worx Australia (RTO 52508) for TAE40122 assessment purposes only.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0E4D4F" w:sz="6" w:space="6"/>
      </w:pBdr>
      <w:tabs>
        <w:tab w:val="right" w:pos="9752"/>
      </w:tabs>
    </w:pPr>
    <w:r>
      <w:rPr>
        <w:rFonts w:ascii="Aptos" w:cs="Aptos" w:eastAsia="Aptos" w:hAnsi="Aptos"/>
        <w:b/>
        <w:bCs/>
        <w:color w:val="0E4D4F"/>
        <w:sz w:val="17"/>
        <w:szCs w:val="17"/>
      </w:rPr>
      <w:t xml:space="preserve">SteelRiver</w:t>
    </w:r>
    <w:r>
      <w:rPr>
        <w:rFonts w:ascii="Aptos" w:cs="Aptos" w:eastAsia="Aptos" w:hAnsi="Aptos"/>
        <w:color w:val="C8742A"/>
        <w:sz w:val="17"/>
        <w:szCs w:val="17"/>
      </w:rPr>
      <w:t xml:space="preserve"> Academy</w:t>
    </w:r>
    <w:r>
      <w:rPr>
        <w:rFonts w:ascii="Aptos" w:cs="Aptos" w:eastAsia="Aptos" w:hAnsi="Aptos"/>
        <w:color w:val="5F6B77"/>
        <w:sz w:val="16"/>
        <w:szCs w:val="16"/>
      </w:rPr>
      <w:t xml:space="preserve">	SRA-RTO-011  ·  Training and Assessment Strategy: TLI30325 Certificate III in Supply Chain Operations (Warehousing Operations)</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60"/>
      </w:pPr>
      <w:rPr>
        <w:color w:val="4F7F80"/>
        <w:sz w:val="14"/>
        <w:szCs w:val="14"/>
      </w:rPr>
    </w:lvl>
    <w:lvl w:ilvl="1" w15:tentative="1">
      <w:start w:val="1"/>
      <w:numFmt w:val="bullet"/>
      <w:lvlText w:val="–"/>
      <w:lvlJc w:val="left"/>
      <w:pPr>
        <w:ind w:left="720" w:hanging="260"/>
      </w:pPr>
      <w:rPr>
        <w:color w:val="4F7F80"/>
      </w:rPr>
    </w:lvl>
  </w:abstractNum>
  <w:abstractNum w:abstractNumId="3" w15:restartNumberingAfterBreak="0">
    <w:multiLevelType w:val="hybridMultilevel"/>
    <w:lvl w:ilvl="0" w15:tentative="1">
      <w:start w:val="1"/>
      <w:numFmt w:val="decimal"/>
      <w:lvlText w:val="%1."/>
      <w:lvlJc w:val="left"/>
      <w:pPr>
        <w:ind w:left="400" w:hanging="300"/>
      </w:pPr>
      <w:rPr>
        <w:b/>
        <w:bCs/>
        <w:color w:val="0E4D4F"/>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ptos" w:cs="Aptos" w:eastAsia="Aptos" w:hAnsi="Aptos"/>
        <w:color w:val="1E2833"/>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SRA-RTO-011 Training and Assessment Strategy: TLI30325 Certificate III in Supply Chain Operations (Warehousing Operations)</dc:title>
  <dc:creator>SteelRiver Logistics Pty Ltd trading as SteelRiver Academy</dc:creator>
  <cp:lastModifiedBy>Un-named</cp:lastModifiedBy>
  <cp:revision>1</cp:revision>
  <dcterms:created xsi:type="dcterms:W3CDTF">2026-11-01T14:49:45.960Z</dcterms:created>
  <dcterms:modified xsi:type="dcterms:W3CDTF">2026-11-01T14:49:45.960Z</dcterms:modified>
</cp:coreProperties>
</file>

<file path=docProps/custom.xml><?xml version="1.0" encoding="utf-8"?>
<Properties xmlns="http://schemas.openxmlformats.org/officeDocument/2006/custom-properties" xmlns:vt="http://schemas.openxmlformats.org/officeDocument/2006/docPropsVTypes"/>
</file>