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ASSESSMENT TOOL</w:t>
            </w:r>
          </w:p>
          <w:p>
            <w:pPr>
              <w:spacing w:after="0"/>
              <w:jc w:val="right"/>
            </w:pPr>
            <w:r>
              <w:rPr>
                <w:rFonts w:ascii="Aptos Display" w:cs="Aptos Display" w:eastAsia="Aptos Display" w:hAnsi="Aptos Display"/>
                <w:b/>
                <w:bCs/>
                <w:color w:val="0E4D4F"/>
                <w:sz w:val="36"/>
                <w:szCs w:val="36"/>
              </w:rPr>
              <w:t xml:space="preserve">SRA-RTO-021</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TLID0020 Assessment Tool</w:t>
      </w:r>
    </w:p>
    <w:p>
      <w:pPr>
        <w:spacing w:before="0" w:after="160" w:line="276"/>
      </w:pPr>
      <w:r>
        <w:rPr>
          <w:rFonts w:ascii="Aptos" w:cs="Aptos" w:eastAsia="Aptos" w:hAnsi="Aptos"/>
          <w:color w:val="4F7F80"/>
          <w:sz w:val="24"/>
          <w:szCs w:val="24"/>
        </w:rPr>
        <w:t xml:space="preserve">TLID0020 Shift materials safely using manual handling methods (Release 1), core unit of TLI30325 Certificate III in Supply Chain Operations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SRA-RTO-021</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 (developer)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Pre-use review Wednesday 25 February 2026 (approved with changes; changes checked by Rohan Desai before issue)</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 (pre-use review)</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Post-use validation, Tuesday 11 August 2026 (SRA-RTO-031)</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assessors, people collecting evidence under direction, workplace supervisors and TLID0020 candidates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Shift materials safely using manual handling methods, release 1 (training.gov.au, released 22 November 2021). Core unit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Qualification</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TLI30325 Certificate III in Supply Chain Operations (Release 1). Also delivered as a single unit (Statement of Attainment)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Amount of training</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20 hours (WA nominal hours), SRA-RTO-011 section 5</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Tool version</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1.0. Pre-use review signed by Rohan Desai, Wednesday 25 February 2026, with Tom Bellamy (industry expert)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Developer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Craig Moretti, Lead Trainer and Assessor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Mapping</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SRA-RTO-027 Assessment Mapping Pack (v1.0); summary at the end of this tool</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Status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Uncontrolled when printed. Check the version in the Academy tool library before use. Part 5 is for assessors only.</w:t>
            </w: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Before you use this tool</w:t>
            </w:r>
          </w:p>
          <w:p>
            <w:pPr>
              <w:spacing w:before="0" w:after="60" w:line="276"/>
            </w:pPr>
            <w:r>
              <w:rPr>
                <w:rFonts w:ascii="Aptos" w:cs="Aptos" w:eastAsia="Aptos" w:hAnsi="Aptos"/>
                <w:color w:val="1E2833"/>
                <w:sz w:val="20"/>
                <w:szCs w:val="20"/>
              </w:rPr>
              <w:t xml:space="preserve">Use only this version, and only as written (SRA-RTO-003 section 4). If you find a problem, report it to Rohan Desai on the tool feedback log. Do not change the tool yourself.</w:t>
            </w:r>
          </w:p>
          <w:p>
            <w:pPr>
              <w:spacing w:before="0" w:after="60" w:line="276"/>
            </w:pPr>
            <w:r>
              <w:rPr>
                <w:rFonts w:ascii="Aptos" w:cs="Aptos" w:eastAsia="Aptos" w:hAnsi="Aptos"/>
                <w:color w:val="1E2833"/>
                <w:sz w:val="20"/>
                <w:szCs w:val="20"/>
              </w:rPr>
              <w:t xml:space="preserve">Only an assessor who holds a Credential Policy 1A credential, vocational competency in TLID0020 and current industry skills (SRA-RTO-041) makes the judgement. A person under direction (Credential Policy 1C or 1D) may conduct the assessment and collect evidence; the directing assessor makes and signs the judgement.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Assessment overview</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3800"/>
        <w:gridCol w:w="2300"/>
        <w:gridCol w:w="2652"/>
      </w:tblGrid>
      <w:tr>
        <w:trPr>
          <w:cantSplit/>
          <w:tblHeader/>
        </w:trPr>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Part</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 or record</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 completes it</w:t>
            </w:r>
          </w:p>
        </w:tc>
        <w:tc>
          <w:tcPr>
            <w:tcW w:type="dxa" w:w="26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Instructions for the candidate and the assessor; conditions and resources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reads; candidate is briefed</w:t>
            </w:r>
          </w:p>
        </w:tc>
        <w:tc>
          <w:tcPr>
            <w:tcW w:type="dxa" w:w="2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the notice and briefing</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Knowledge questions Q1 to Q8 (written, oral and picture-supported versions; SRA-RTO-018 v2.0 cards)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 answers; assessor records</w:t>
            </w:r>
          </w:p>
        </w:tc>
        <w:tc>
          <w:tcPr>
            <w:tcW w:type="dxa" w:w="2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Room 1, Tuesday or Thursday 13:00 to 14:30, or another paid time agreed</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checklist O1 to O12: Task 1 team lift; Task 2 using a lifting aid (hand pallet truck)</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observes</w:t>
            </w:r>
          </w:p>
        </w:tc>
        <w:tc>
          <w:tcPr>
            <w:tcW w:type="dxa" w:w="2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 the candidate's rostered shift</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4</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 supervisor report SR1 to SR5</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Candidate's shift supervisor</w:t>
            </w:r>
          </w:p>
        </w:tc>
        <w:tc>
          <w:tcPr>
            <w:tcW w:type="dxa" w:w="2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Covering the weeks of coached practice up to the observation</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5</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Marking guide: benchmarks and decision rules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w:t>
            </w:r>
          </w:p>
        </w:tc>
        <w:tc>
          <w:tcPr>
            <w:tcW w:type="dxa" w:w="2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When marking</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6</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Customisation and Adjustment Record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candidate, LLN lead</w:t>
            </w:r>
          </w:p>
        </w:tc>
        <w:tc>
          <w:tcPr>
            <w:tcW w:type="dxa" w:w="2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the assessment</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7</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record and Competency Judgement Record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(directing assessor for evidence collected under direction)</w:t>
            </w:r>
          </w:p>
        </w:tc>
        <w:tc>
          <w:tcPr>
            <w:tcW w:type="dxa" w:w="2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Notice, briefing, outcomes and judgement</w:t>
            </w:r>
          </w:p>
        </w:tc>
      </w:tr>
    </w:tbl>
    <w:p>
      <w:pPr>
        <w:spacing w:before="120" w:after="120" w:line="276"/>
      </w:pPr>
      <w:r>
        <w:rPr>
          <w:rFonts w:ascii="Aptos" w:cs="Aptos" w:eastAsia="Aptos" w:hAnsi="Aptos"/>
          <w:color w:val="1E2833"/>
          <w:sz w:val="20"/>
          <w:szCs w:val="20"/>
        </w:rPr>
        <w:t xml:space="preserve">Decision: the candidate is Competent when Part 2, Part 3 (both tasks) and Part 4 are each Satisfactory under the Part 5 rules, and the evidence together meets the rules of evidence.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1. Instructions</w:t>
      </w:r>
    </w:p>
    <w:p>
      <w:pPr>
        <w:keepNext/>
        <w:spacing w:before="200" w:after="80"/>
      </w:pPr>
      <w:r>
        <w:rPr>
          <w:rFonts w:ascii="Aptos Display" w:cs="Aptos Display" w:eastAsia="Aptos Display" w:hAnsi="Aptos Display"/>
          <w:b/>
          <w:bCs/>
          <w:color w:val="4F7F80"/>
          <w:sz w:val="24"/>
          <w:szCs w:val="24"/>
        </w:rPr>
        <w:t xml:space="preserve">1.1 Assessment conditions in the unit</w:t>
      </w:r>
    </w:p>
    <w:p>
      <w:pPr>
        <w:spacing w:before="0" w:after="120" w:line="276"/>
      </w:pPr>
      <w:r>
        <w:rPr>
          <w:rFonts w:ascii="Aptos" w:cs="Aptos" w:eastAsia="Aptos" w:hAnsi="Aptos"/>
          <w:color w:val="1E2833"/>
          <w:sz w:val="20"/>
          <w:szCs w:val="20"/>
        </w:rPr>
        <w:t xml:space="preserve">The TLID0020 assessment conditions (training.gov.au, release 1) say:</w:t>
      </w:r>
    </w:p>
    <w:p>
      <w:pPr>
        <w:spacing w:before="0" w:after="60" w:line="276"/>
      </w:pPr>
      <w:r>
        <w:rPr>
          <w:rFonts w:ascii="Aptos" w:cs="Aptos" w:eastAsia="Aptos" w:hAnsi="Aptos"/>
          <w:i/>
          <w:iCs/>
          <w:color w:val="1E2833"/>
          <w:sz w:val="20"/>
          <w:szCs w:val="20"/>
        </w:rPr>
        <w:t xml:space="preserve">Assessment must satisfy the Principles of Assessment and Rules of Evidence and all regulatory requirements included within the Standards for Registered Training Organisations current at the time of assessment.</w:t>
      </w:r>
    </w:p>
    <w:p>
      <w:pPr>
        <w:spacing w:before="0" w:after="60" w:line="276"/>
      </w:pPr>
      <w:r>
        <w:rPr>
          <w:rFonts w:ascii="Aptos" w:cs="Aptos" w:eastAsia="Aptos" w:hAnsi="Aptos"/>
          <w:i/>
          <w:iCs/>
          <w:color w:val="1E2833"/>
          <w:sz w:val="20"/>
          <w:szCs w:val="20"/>
        </w:rPr>
        <w:t xml:space="preserve">Assessment must occur in workplace operational situations where it is appropriate to do so; where this is not appropriate, assessment must occur in simulated workplace operational situations that replicate workplace conditions.</w:t>
      </w:r>
    </w:p>
    <w:p>
      <w:pPr>
        <w:spacing w:before="0" w:after="60" w:line="276"/>
      </w:pPr>
      <w:r>
        <w:rPr>
          <w:rFonts w:ascii="Aptos" w:cs="Aptos" w:eastAsia="Aptos" w:hAnsi="Aptos"/>
          <w:i/>
          <w:iCs/>
          <w:color w:val="1E2833"/>
          <w:sz w:val="20"/>
          <w:szCs w:val="20"/>
        </w:rPr>
        <w:t xml:space="preserve">A simulator/online assessment is not suitable for the final assessment of this unit of competency.</w:t>
      </w:r>
    </w:p>
    <w:p>
      <w:pPr>
        <w:spacing w:before="0" w:after="60" w:line="276"/>
      </w:pPr>
      <w:r>
        <w:rPr>
          <w:rFonts w:ascii="Aptos" w:cs="Aptos" w:eastAsia="Aptos" w:hAnsi="Aptos"/>
          <w:i/>
          <w:iCs/>
          <w:color w:val="1E2833"/>
          <w:sz w:val="20"/>
          <w:szCs w:val="20"/>
        </w:rPr>
        <w:t xml:space="preserve">Assessment processes and techniques must be appropriate to the language, literacy and numeracy requirements of the work being performed and the needs of the candidate.</w:t>
      </w:r>
    </w:p>
    <w:p>
      <w:pPr>
        <w:spacing w:before="0" w:after="60" w:line="276"/>
      </w:pPr>
      <w:r>
        <w:rPr>
          <w:rFonts w:ascii="Aptos" w:cs="Aptos" w:eastAsia="Aptos" w:hAnsi="Aptos"/>
          <w:i/>
          <w:iCs/>
          <w:color w:val="1E2833"/>
          <w:sz w:val="20"/>
          <w:szCs w:val="20"/>
        </w:rPr>
        <w:t xml:space="preserve">Resources for assessment must include access to:</w:t>
      </w:r>
    </w:p>
    <w:p>
      <w:pPr>
        <w:pStyle w:val="ListParagraph"/>
        <w:numPr>
          <w:ilvl w:val="0"/>
          <w:numId w:val="2"/>
        </w:numPr>
        <w:spacing w:after="60" w:line="264"/>
      </w:pPr>
      <w:r>
        <w:rPr>
          <w:rFonts w:ascii="Aptos" w:cs="Aptos" w:eastAsia="Aptos" w:hAnsi="Aptos"/>
          <w:i/>
          <w:iCs/>
          <w:color w:val="1E2833"/>
          <w:sz w:val="20"/>
          <w:szCs w:val="20"/>
        </w:rPr>
        <w:t xml:space="preserve">a range of relevant exercises, case studies and/or simulations</w:t>
      </w:r>
    </w:p>
    <w:p>
      <w:pPr>
        <w:pStyle w:val="ListParagraph"/>
        <w:numPr>
          <w:ilvl w:val="0"/>
          <w:numId w:val="2"/>
        </w:numPr>
        <w:spacing w:after="60" w:line="264"/>
      </w:pPr>
      <w:r>
        <w:rPr>
          <w:rFonts w:ascii="Aptos" w:cs="Aptos" w:eastAsia="Aptos" w:hAnsi="Aptos"/>
          <w:i/>
          <w:iCs/>
          <w:color w:val="1E2833"/>
          <w:sz w:val="20"/>
          <w:szCs w:val="20"/>
        </w:rPr>
        <w:t xml:space="preserve">relevant and appropriate materials, tools, equipment and PPE currently used in industry</w:t>
      </w:r>
    </w:p>
    <w:p>
      <w:pPr>
        <w:pStyle w:val="ListParagraph"/>
        <w:numPr>
          <w:ilvl w:val="0"/>
          <w:numId w:val="2"/>
        </w:numPr>
        <w:spacing w:after="60" w:line="264"/>
      </w:pPr>
      <w:r>
        <w:rPr>
          <w:rFonts w:ascii="Aptos" w:cs="Aptos" w:eastAsia="Aptos" w:hAnsi="Aptos"/>
          <w:i/>
          <w:iCs/>
          <w:color w:val="1E2833"/>
          <w:sz w:val="20"/>
          <w:szCs w:val="20"/>
        </w:rPr>
        <w:t xml:space="preserve">applicable documentation, including legislation, regulations, codes of practice, workplace procedures and operation manuals.</w:t>
      </w:r>
    </w:p>
    <w:p>
      <w:pPr>
        <w:spacing w:before="0" w:after="120" w:line="276"/>
      </w:pPr>
      <w:r>
        <w:rPr>
          <w:rFonts w:ascii="Aptos" w:cs="Aptos" w:eastAsia="Aptos" w:hAnsi="Aptos"/>
          <w:i/>
          <w:iCs/>
          <w:color w:val="1E2833"/>
          <w:sz w:val="20"/>
          <w:szCs w:val="20"/>
        </w:rPr>
        <w:t xml:space="preserve">Assessors must hold credentials specified within the Standards for Registered Training Organisations current at the time of assessment.</w:t>
      </w:r>
    </w:p>
    <w:p>
      <w:pPr>
        <w:keepNext/>
        <w:spacing w:before="200" w:after="80"/>
      </w:pPr>
      <w:r>
        <w:rPr>
          <w:rFonts w:ascii="Aptos Display" w:cs="Aptos Display" w:eastAsia="Aptos Display" w:hAnsi="Aptos Display"/>
          <w:b/>
          <w:bCs/>
          <w:color w:val="4F7F80"/>
          <w:sz w:val="24"/>
          <w:szCs w:val="24"/>
        </w:rPr>
        <w:t xml:space="preserve">1.2 How this tool meets the conditions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Condition</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SRA-RTO-021 meets it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Workplace operational situations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Final assessment is in the workplace during the candidate's normal rostered shift (SRA-RTO-011 section 8), in their own zone, with real SteelRiver loads, equipment and procedures.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Not a simulator or online</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Both tasks are observed live by an Academy assessor. No part of the final assessment is online or simulated. The training bay is used for practice only.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LLN requirements and the candidate's needs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Knowledge questions have written, oral and picture-supported versions (SRA-RTO-018 v2.0 cards, captions in English, Vietnamese, Arabic, Dari and Punjabi). Interpreters, extra time and other adjustments are recorded in Part 6.</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Resources</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Real loads including one over 25 kg or awkward (team lift) and a part pallet; hand pallet truck; PPE (hi-vis vest, safety boots, gloves); the SteelRiver manual handling rule (draft SRL-CR-041), SRL-CR-043 Traffic Management Procedure and Plan, Perth DC and SRL-CR-042 Mobile Plant (Forklift and MHE) Operations Safe Operating Procedure; WorkSafe WA Code of practice: Hazardous manual tasks.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 credentials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assessor's credential, vocational competency and currency for TLID0020 are checked against SRA-RTO-041 before the assessment.</w:t>
            </w:r>
          </w:p>
        </w:tc>
      </w:tr>
    </w:tbl>
    <w:p>
      <w:pPr>
        <w:keepNext/>
        <w:spacing w:before="200" w:after="80"/>
      </w:pPr>
      <w:r>
        <w:rPr>
          <w:rFonts w:ascii="Aptos Display" w:cs="Aptos Display" w:eastAsia="Aptos Display" w:hAnsi="Aptos Display"/>
          <w:b/>
          <w:bCs/>
          <w:color w:val="4F7F80"/>
          <w:sz w:val="24"/>
          <w:szCs w:val="24"/>
        </w:rPr>
        <w:t xml:space="preserve">1.3 Instructions for the candidate</w:t>
      </w:r>
    </w:p>
    <w:p>
      <w:pPr>
        <w:spacing w:before="0" w:after="120" w:line="276"/>
      </w:pPr>
      <w:r>
        <w:rPr>
          <w:rFonts w:ascii="Aptos" w:cs="Aptos" w:eastAsia="Aptos" w:hAnsi="Aptos"/>
          <w:color w:val="1E2833"/>
          <w:sz w:val="20"/>
          <w:szCs w:val="20"/>
        </w:rPr>
        <w:t xml:space="preserve">Your assessor will read these to you, or go through them with an interpreter or the picture cards, at your briefing.</w:t>
      </w:r>
    </w:p>
    <w:p>
      <w:pPr>
        <w:pStyle w:val="ListParagraph"/>
        <w:numPr>
          <w:ilvl w:val="0"/>
          <w:numId w:val="2"/>
        </w:numPr>
        <w:spacing w:after="60" w:line="264"/>
      </w:pPr>
      <w:r>
        <w:rPr>
          <w:rFonts w:ascii="Aptos" w:cs="Aptos" w:eastAsia="Aptos" w:hAnsi="Aptos"/>
          <w:color w:val="1E2833"/>
          <w:sz w:val="20"/>
          <w:szCs w:val="20"/>
        </w:rPr>
        <w:t xml:space="preserve">This assessment checks that you can move loads safely by hand and with a hand pallet truck at the Perth DC, the way SteelRiver does it.</w:t>
      </w:r>
    </w:p>
    <w:p>
      <w:pPr>
        <w:pStyle w:val="ListParagraph"/>
        <w:numPr>
          <w:ilvl w:val="0"/>
          <w:numId w:val="2"/>
        </w:numPr>
        <w:spacing w:after="60" w:line="264"/>
      </w:pPr>
      <w:r>
        <w:rPr>
          <w:rFonts w:ascii="Aptos" w:cs="Aptos" w:eastAsia="Aptos" w:hAnsi="Aptos"/>
          <w:color w:val="1E2833"/>
          <w:sz w:val="20"/>
          <w:szCs w:val="20"/>
        </w:rPr>
        <w:t xml:space="preserve">There are three parts. (1) Questions: your assessor asks you 8 questions. You can answer in writing or by talking, and you can use the picture cards. (2) Two tasks on your own shift: a team lift with a workmate, and moving a part pallet with a hand pallet truck. Your assessor watches. (3) Your supervisor writes a short report about your work over the past weeks.</w:t>
      </w:r>
    </w:p>
    <w:p>
      <w:pPr>
        <w:pStyle w:val="ListParagraph"/>
        <w:numPr>
          <w:ilvl w:val="0"/>
          <w:numId w:val="2"/>
        </w:numPr>
        <w:spacing w:after="60" w:line="264"/>
      </w:pPr>
      <w:r>
        <w:rPr>
          <w:rFonts w:ascii="Aptos" w:cs="Aptos" w:eastAsia="Aptos" w:hAnsi="Aptos"/>
          <w:color w:val="1E2833"/>
          <w:sz w:val="20"/>
          <w:szCs w:val="20"/>
        </w:rPr>
        <w:t xml:space="preserve">Wear your hi-vis vest, safety boots and gloves. Do your normal work, the safe way. If something unexpected happens, deal with it as you would on any shift.</w:t>
      </w:r>
    </w:p>
    <w:p>
      <w:pPr>
        <w:pStyle w:val="ListParagraph"/>
        <w:numPr>
          <w:ilvl w:val="0"/>
          <w:numId w:val="2"/>
        </w:numPr>
        <w:spacing w:after="60" w:line="264"/>
      </w:pPr>
      <w:r>
        <w:rPr>
          <w:rFonts w:ascii="Aptos" w:cs="Aptos" w:eastAsia="Aptos" w:hAnsi="Aptos"/>
          <w:color w:val="1E2833"/>
          <w:sz w:val="20"/>
          <w:szCs w:val="20"/>
        </w:rPr>
        <w:t xml:space="preserve">If you feel unsafe, unwell or in pain at any time, stop and tell your assessor. Safety comes first.</w:t>
      </w:r>
    </w:p>
    <w:p>
      <w:pPr>
        <w:pStyle w:val="ListParagraph"/>
        <w:numPr>
          <w:ilvl w:val="0"/>
          <w:numId w:val="2"/>
        </w:numPr>
        <w:spacing w:after="60" w:line="264"/>
      </w:pPr>
      <w:r>
        <w:rPr>
          <w:rFonts w:ascii="Aptos" w:cs="Aptos" w:eastAsia="Aptos" w:hAnsi="Aptos"/>
          <w:color w:val="1E2833"/>
          <w:sz w:val="20"/>
          <w:szCs w:val="20"/>
        </w:rPr>
        <w:t xml:space="preserve">The questions take about 30 to 40 minutes. Each task takes about 15 to 20 minutes.</w:t>
      </w:r>
    </w:p>
    <w:p>
      <w:pPr>
        <w:pStyle w:val="ListParagraph"/>
        <w:numPr>
          <w:ilvl w:val="0"/>
          <w:numId w:val="2"/>
        </w:numPr>
        <w:spacing w:after="60" w:line="264"/>
      </w:pPr>
      <w:r>
        <w:rPr>
          <w:rFonts w:ascii="Aptos" w:cs="Aptos" w:eastAsia="Aptos" w:hAnsi="Aptos"/>
          <w:color w:val="1E2833"/>
          <w:sz w:val="20"/>
          <w:szCs w:val="20"/>
        </w:rPr>
        <w:t xml:space="preserve">Your assessor may film the tasks only if you agree in writing. The recording is kept in your Academy file only.</w:t>
      </w:r>
    </w:p>
    <w:p>
      <w:pPr>
        <w:pStyle w:val="ListParagraph"/>
        <w:numPr>
          <w:ilvl w:val="0"/>
          <w:numId w:val="2"/>
        </w:numPr>
        <w:spacing w:after="60" w:line="264"/>
      </w:pPr>
      <w:r>
        <w:rPr>
          <w:rFonts w:ascii="Aptos" w:cs="Aptos" w:eastAsia="Aptos" w:hAnsi="Aptos"/>
          <w:color w:val="1E2833"/>
          <w:sz w:val="20"/>
          <w:szCs w:val="20"/>
        </w:rPr>
        <w:t xml:space="preserve">You will be told your result as soon as it is decided, and you will get written feedback within 5 business days. If you are not yet competent, you get help and up to two more tries. You can appeal any result within 30 days (SRA-RTO-008).</w:t>
      </w:r>
    </w:p>
    <w:p>
      <w:pPr>
        <w:pStyle w:val="ListParagraph"/>
        <w:numPr>
          <w:ilvl w:val="0"/>
          <w:numId w:val="2"/>
        </w:numPr>
        <w:spacing w:after="60" w:line="264"/>
      </w:pPr>
      <w:r>
        <w:rPr>
          <w:rFonts w:ascii="Aptos" w:cs="Aptos" w:eastAsia="Aptos" w:hAnsi="Aptos"/>
          <w:color w:val="1E2833"/>
          <w:sz w:val="20"/>
          <w:szCs w:val="20"/>
        </w:rPr>
        <w:t xml:space="preserve">After the assessment you will be asked how it went on the Candidate Assessment Feedback Form (SRA-RTO-030).</w:t>
      </w:r>
    </w:p>
    <w:p>
      <w:pPr>
        <w:keepNext/>
        <w:spacing w:before="200" w:after="80"/>
      </w:pPr>
      <w:r>
        <w:rPr>
          <w:rFonts w:ascii="Aptos Display" w:cs="Aptos Display" w:eastAsia="Aptos Display" w:hAnsi="Aptos Display"/>
          <w:b/>
          <w:bCs/>
          <w:color w:val="4F7F80"/>
          <w:sz w:val="24"/>
          <w:szCs w:val="24"/>
        </w:rPr>
        <w:t xml:space="preserve">1.4 Instructions for the assessor</w:t>
      </w:r>
    </w:p>
    <w:p>
      <w:pPr>
        <w:spacing w:before="0" w:after="60" w:line="276"/>
      </w:pPr>
      <w:r>
        <w:rPr>
          <w:rFonts w:ascii="Aptos" w:cs="Aptos" w:eastAsia="Aptos" w:hAnsi="Aptos"/>
          <w:b/>
          <w:bCs/>
          <w:color w:val="1E2833"/>
          <w:sz w:val="20"/>
          <w:szCs w:val="20"/>
        </w:rPr>
        <w:t xml:space="preserve">Before the assessment</w:t>
      </w:r>
    </w:p>
    <w:p>
      <w:pPr>
        <w:pStyle w:val="ListParagraph"/>
        <w:numPr>
          <w:ilvl w:val="0"/>
          <w:numId w:val="3"/>
        </w:numPr>
        <w:spacing w:after="60" w:line="264"/>
      </w:pPr>
      <w:r>
        <w:rPr>
          <w:rFonts w:ascii="Aptos" w:cs="Aptos" w:eastAsia="Aptos" w:hAnsi="Aptos"/>
          <w:color w:val="1E2833"/>
          <w:sz w:val="20"/>
          <w:szCs w:val="20"/>
        </w:rPr>
        <w:t xml:space="preserve">Confirm the candidate has finished the group sessions and coached practice, and agree the observation date with their supervisor so they can be released.</w:t>
      </w:r>
    </w:p>
    <w:p>
      <w:pPr>
        <w:pStyle w:val="ListParagraph"/>
        <w:numPr>
          <w:ilvl w:val="0"/>
          <w:numId w:val="3"/>
        </w:numPr>
        <w:spacing w:after="60" w:line="264"/>
      </w:pPr>
      <w:r>
        <w:rPr>
          <w:rFonts w:ascii="Aptos" w:cs="Aptos" w:eastAsia="Aptos" w:hAnsi="Aptos"/>
          <w:color w:val="1E2833"/>
          <w:sz w:val="20"/>
          <w:szCs w:val="20"/>
        </w:rPr>
        <w:t xml:space="preserve">Give written notice of what, when, where and how at least 5 business days before the first assessment event (SRA-RTO-003 section 5), in a form the candidate can use.</w:t>
      </w:r>
    </w:p>
    <w:p>
      <w:pPr>
        <w:pStyle w:val="ListParagraph"/>
        <w:numPr>
          <w:ilvl w:val="0"/>
          <w:numId w:val="3"/>
        </w:numPr>
        <w:spacing w:after="60" w:line="264"/>
      </w:pPr>
      <w:r>
        <w:rPr>
          <w:rFonts w:ascii="Aptos" w:cs="Aptos" w:eastAsia="Aptos" w:hAnsi="Aptos"/>
          <w:color w:val="1E2833"/>
          <w:sz w:val="20"/>
          <w:szCs w:val="20"/>
        </w:rPr>
        <w:t xml:space="preserve">Check the candidate's LLN support plan (SRA-RTO-006) and complete Part 6 with the candidate and Leanne Okafor. Book a certified interpreter through People and Culture with at least 5 business days' notice where needed. Family members, other learners and colleagues do not interpret in an assessment.</w:t>
      </w:r>
    </w:p>
    <w:p>
      <w:pPr>
        <w:pStyle w:val="ListParagraph"/>
        <w:numPr>
          <w:ilvl w:val="0"/>
          <w:numId w:val="3"/>
        </w:numPr>
        <w:spacing w:after="60" w:line="264"/>
      </w:pPr>
      <w:r>
        <w:rPr>
          <w:rFonts w:ascii="Aptos" w:cs="Aptos" w:eastAsia="Aptos" w:hAnsi="Aptos"/>
          <w:color w:val="1E2833"/>
          <w:sz w:val="20"/>
          <w:szCs w:val="20"/>
        </w:rPr>
        <w:t xml:space="preserve">Hold the pre-assessment briefing on paid time and record it in Part 7.1.</w:t>
      </w:r>
    </w:p>
    <w:p>
      <w:pPr>
        <w:pStyle w:val="ListParagraph"/>
        <w:numPr>
          <w:ilvl w:val="0"/>
          <w:numId w:val="3"/>
        </w:numPr>
        <w:spacing w:after="60" w:line="264"/>
      </w:pPr>
      <w:r>
        <w:rPr>
          <w:rFonts w:ascii="Aptos" w:cs="Aptos" w:eastAsia="Aptos" w:hAnsi="Aptos"/>
          <w:color w:val="1E2833"/>
          <w:sz w:val="20"/>
          <w:szCs w:val="20"/>
        </w:rPr>
        <w:t xml:space="preserve">Plan the tasks with the supervisor: a real load over 25 kg or awkward for Task 1 (with a workmate as lift partner) and a part pallet for Task 2. Plan the observation outside the inbound peaks (morning 06:00 to 08:00; docks 1 to 4 from 12:30 to 15:30).</w:t>
      </w:r>
    </w:p>
    <w:p>
      <w:pPr>
        <w:pStyle w:val="ListParagraph"/>
        <w:numPr>
          <w:ilvl w:val="0"/>
          <w:numId w:val="3"/>
        </w:numPr>
        <w:spacing w:after="60" w:line="264"/>
      </w:pPr>
      <w:r>
        <w:rPr>
          <w:rFonts w:ascii="Aptos" w:cs="Aptos" w:eastAsia="Aptos" w:hAnsi="Aptos"/>
          <w:color w:val="1E2833"/>
          <w:sz w:val="20"/>
          <w:szCs w:val="20"/>
        </w:rPr>
        <w:t xml:space="preserve">If filming, get the candidate's written consent and the supervisor's agreement, and tell other workers in the area before filming starts. Use the Academy tablet only.</w:t>
      </w:r>
    </w:p>
    <w:p>
      <w:pPr>
        <w:spacing w:before="120" w:after="60" w:line="276"/>
      </w:pPr>
      <w:r>
        <w:rPr>
          <w:rFonts w:ascii="Aptos" w:cs="Aptos" w:eastAsia="Aptos" w:hAnsi="Aptos"/>
          <w:b/>
          <w:bCs/>
          <w:color w:val="1E2833"/>
          <w:sz w:val="20"/>
          <w:szCs w:val="20"/>
        </w:rPr>
        <w:t xml:space="preserve">During the tasks</w:t>
      </w:r>
    </w:p>
    <w:p>
      <w:pPr>
        <w:pStyle w:val="ListParagraph"/>
        <w:numPr>
          <w:ilvl w:val="0"/>
          <w:numId w:val="2"/>
        </w:numPr>
        <w:spacing w:after="60" w:line="264"/>
      </w:pPr>
      <w:r>
        <w:rPr>
          <w:rFonts w:ascii="Aptos" w:cs="Aptos" w:eastAsia="Aptos" w:hAnsi="Aptos"/>
          <w:color w:val="1E2833"/>
          <w:sz w:val="20"/>
          <w:szCs w:val="20"/>
        </w:rPr>
        <w:t xml:space="preserve">Give the task (load, destination, equipment) and then observe. Do not demonstrate, prompt or coach. The supervisor and other workers do not prompt or coach the candidate during the observation.</w:t>
      </w:r>
    </w:p>
    <w:p>
      <w:pPr>
        <w:pStyle w:val="ListParagraph"/>
        <w:numPr>
          <w:ilvl w:val="0"/>
          <w:numId w:val="2"/>
        </w:numPr>
        <w:spacing w:after="60" w:line="264"/>
      </w:pPr>
      <w:r>
        <w:rPr>
          <w:rFonts w:ascii="Aptos" w:cs="Aptos" w:eastAsia="Aptos" w:hAnsi="Aptos"/>
          <w:color w:val="1E2833"/>
          <w:sz w:val="20"/>
          <w:szCs w:val="20"/>
        </w:rPr>
        <w:t xml:space="preserve">Record what you see against each item in Part 3, with times. Mark only what you saw. A supervisor report, a recording you have not seen in full or a colleague's comment never replaces your observation of an item.</w:t>
      </w:r>
    </w:p>
    <w:p>
      <w:pPr>
        <w:pStyle w:val="ListParagraph"/>
        <w:numPr>
          <w:ilvl w:val="0"/>
          <w:numId w:val="2"/>
        </w:numPr>
        <w:spacing w:after="60" w:line="264"/>
      </w:pPr>
      <w:r>
        <w:rPr>
          <w:rFonts w:ascii="Aptos" w:cs="Aptos" w:eastAsia="Aptos" w:hAnsi="Aptos"/>
          <w:color w:val="1E2833"/>
          <w:sz w:val="20"/>
          <w:szCs w:val="20"/>
        </w:rPr>
        <w:t xml:space="preserve">Contingencies: record any contingency that occurs naturally (a blocked route, a forklift at a crossing, a damaged or mislabelled carton). A prepared contingency may be used if none occurs naturally, for example a carton labelled lighter than it is, set up with the supervisor beforehand from the training bay stock.</w:t>
      </w:r>
    </w:p>
    <w:p>
      <w:pPr>
        <w:pStyle w:val="ListParagraph"/>
        <w:numPr>
          <w:ilvl w:val="0"/>
          <w:numId w:val="2"/>
        </w:numPr>
        <w:spacing w:after="60" w:line="264"/>
      </w:pPr>
      <w:r>
        <w:rPr>
          <w:rFonts w:ascii="Aptos" w:cs="Aptos" w:eastAsia="Aptos" w:hAnsi="Aptos"/>
          <w:color w:val="1E2833"/>
          <w:sz w:val="20"/>
          <w:szCs w:val="20"/>
        </w:rPr>
        <w:t xml:space="preserve">Stop rule: stop the task at once if the candidate or anyone else is at risk (for example a lift over 25 kg alone, walking behind a reversing reach truck, a damaged DG carton). Make the area safe, then record what happened.</w:t>
      </w:r>
    </w:p>
    <w:p>
      <w:pPr>
        <w:pStyle w:val="ListParagraph"/>
        <w:numPr>
          <w:ilvl w:val="0"/>
          <w:numId w:val="2"/>
        </w:numPr>
        <w:spacing w:after="60" w:line="264"/>
      </w:pPr>
      <w:r>
        <w:rPr>
          <w:rFonts w:ascii="Aptos" w:cs="Aptos" w:eastAsia="Aptos" w:hAnsi="Aptos"/>
          <w:color w:val="1E2833"/>
          <w:sz w:val="20"/>
          <w:szCs w:val="20"/>
        </w:rPr>
        <w:t xml:space="preserve">You may ask the candidate to explain what they are doing or why, after the move or when it is safe. Keep questions neutral.</w:t>
      </w:r>
    </w:p>
    <w:p>
      <w:pPr>
        <w:spacing w:before="120" w:after="60" w:line="276"/>
      </w:pPr>
      <w:r>
        <w:rPr>
          <w:rFonts w:ascii="Aptos" w:cs="Aptos" w:eastAsia="Aptos" w:hAnsi="Aptos"/>
          <w:b/>
          <w:bCs/>
          <w:color w:val="1E2833"/>
          <w:sz w:val="20"/>
          <w:szCs w:val="20"/>
        </w:rPr>
        <w:t xml:space="preserve">Knowledge questions</w:t>
      </w:r>
    </w:p>
    <w:p>
      <w:pPr>
        <w:pStyle w:val="ListParagraph"/>
        <w:numPr>
          <w:ilvl w:val="0"/>
          <w:numId w:val="2"/>
        </w:numPr>
        <w:spacing w:after="60" w:line="264"/>
      </w:pPr>
      <w:r>
        <w:rPr>
          <w:rFonts w:ascii="Aptos" w:cs="Aptos" w:eastAsia="Aptos" w:hAnsi="Aptos"/>
          <w:color w:val="1E2833"/>
          <w:sz w:val="20"/>
          <w:szCs w:val="20"/>
        </w:rPr>
        <w:t xml:space="preserve">Use the version agreed in Part 6. In the oral version, read each question as written, show the card, and record the answer word for word or close to it.</w:t>
      </w:r>
    </w:p>
    <w:p>
      <w:pPr>
        <w:pStyle w:val="ListParagraph"/>
        <w:numPr>
          <w:ilvl w:val="0"/>
          <w:numId w:val="2"/>
        </w:numPr>
        <w:spacing w:after="60" w:line="264"/>
      </w:pPr>
      <w:r>
        <w:rPr>
          <w:rFonts w:ascii="Aptos" w:cs="Aptos" w:eastAsia="Aptos" w:hAnsi="Aptos"/>
          <w:color w:val="1E2833"/>
          <w:sz w:val="20"/>
          <w:szCs w:val="20"/>
        </w:rPr>
        <w:t xml:space="preserve">You may rephrase a question or ask a neutral follow-up ("Can you tell me more?", "What about...?") but never explain or give the answer. An interpreter interprets exactly and does not explain.</w:t>
      </w:r>
    </w:p>
    <w:p>
      <w:pPr>
        <w:spacing w:before="120" w:after="60" w:line="276"/>
      </w:pPr>
      <w:r>
        <w:rPr>
          <w:rFonts w:ascii="Aptos" w:cs="Aptos" w:eastAsia="Aptos" w:hAnsi="Aptos"/>
          <w:b/>
          <w:bCs/>
          <w:color w:val="1E2833"/>
          <w:sz w:val="20"/>
          <w:szCs w:val="20"/>
        </w:rPr>
        <w:t xml:space="preserve">After the assessment</w:t>
      </w:r>
    </w:p>
    <w:p>
      <w:pPr>
        <w:pStyle w:val="ListParagraph"/>
        <w:numPr>
          <w:ilvl w:val="0"/>
          <w:numId w:val="2"/>
        </w:numPr>
        <w:spacing w:after="60" w:line="264"/>
      </w:pPr>
      <w:r>
        <w:rPr>
          <w:rFonts w:ascii="Aptos" w:cs="Aptos" w:eastAsia="Aptos" w:hAnsi="Aptos"/>
          <w:color w:val="1E2833"/>
          <w:sz w:val="20"/>
          <w:szCs w:val="20"/>
        </w:rPr>
        <w:t xml:space="preserve">Collect the supervisor report (Part 4) and check it against the evidence. Verify it with its author by a call or meeting and record this in Part 7.</w:t>
      </w:r>
    </w:p>
    <w:p>
      <w:pPr>
        <w:pStyle w:val="ListParagraph"/>
        <w:numPr>
          <w:ilvl w:val="0"/>
          <w:numId w:val="2"/>
        </w:numPr>
        <w:spacing w:after="60" w:line="264"/>
      </w:pPr>
      <w:r>
        <w:rPr>
          <w:rFonts w:ascii="Aptos" w:cs="Aptos" w:eastAsia="Aptos" w:hAnsi="Aptos"/>
          <w:color w:val="1E2833"/>
          <w:sz w:val="20"/>
          <w:szCs w:val="20"/>
        </w:rPr>
        <w:t xml:space="preserve">Mark each instrument S or NYS with reasons (Part 5), then complete the Competency Judgement Record (Part 7.3). If any third party evidence is set aside, seek moderation before finalising (SRA-RTO-003 section 9).</w:t>
      </w:r>
    </w:p>
    <w:p>
      <w:pPr>
        <w:pStyle w:val="ListParagraph"/>
        <w:numPr>
          <w:ilvl w:val="0"/>
          <w:numId w:val="2"/>
        </w:numPr>
        <w:spacing w:after="60" w:line="264"/>
      </w:pPr>
      <w:r>
        <w:rPr>
          <w:rFonts w:ascii="Aptos" w:cs="Aptos" w:eastAsia="Aptos" w:hAnsi="Aptos"/>
          <w:color w:val="1E2833"/>
          <w:sz w:val="20"/>
          <w:szCs w:val="20"/>
        </w:rPr>
        <w:t xml:space="preserve">Tell the candidate the outcome as soon as it is decided and give written feedback within 5 business days. Send results and records to Ivy Chua within 5 business days of the final assessment. Upload recordings to the SMS candidate file and delete camera copies the same day.</w:t>
      </w:r>
    </w:p>
    <w:p>
      <w:pPr>
        <w:pStyle w:val="ListParagraph"/>
        <w:numPr>
          <w:ilvl w:val="0"/>
          <w:numId w:val="2"/>
        </w:numPr>
        <w:spacing w:after="60" w:line="264"/>
      </w:pPr>
      <w:r>
        <w:rPr>
          <w:rFonts w:ascii="Aptos" w:cs="Aptos" w:eastAsia="Aptos" w:hAnsi="Aptos"/>
          <w:color w:val="1E2833"/>
          <w:sz w:val="20"/>
          <w:szCs w:val="20"/>
        </w:rPr>
        <w:t xml:space="preserve">Offer the Candidate Assessment Feedback Form (SRA-RTO-030).</w:t>
      </w:r>
    </w:p>
    <w:p>
      <w:pPr>
        <w:spacing w:before="120" w:after="60" w:line="276"/>
      </w:pPr>
      <w:r>
        <w:rPr>
          <w:rFonts w:ascii="Aptos" w:cs="Aptos" w:eastAsia="Aptos" w:hAnsi="Aptos"/>
          <w:b/>
          <w:bCs/>
          <w:color w:val="1E2833"/>
          <w:sz w:val="20"/>
          <w:szCs w:val="20"/>
        </w:rPr>
        <w:t xml:space="preserve">Evidence collected under direction</w:t>
      </w:r>
    </w:p>
    <w:p>
      <w:pPr>
        <w:spacing w:before="0" w:after="120" w:line="276"/>
      </w:pPr>
      <w:r>
        <w:rPr>
          <w:rFonts w:ascii="Aptos" w:cs="Aptos" w:eastAsia="Aptos" w:hAnsi="Aptos"/>
          <w:color w:val="1E2833"/>
          <w:sz w:val="20"/>
          <w:szCs w:val="20"/>
        </w:rPr>
        <w:t xml:space="preserve">A person under direction (Credential Policy 1C or 1D) records observations and answers on Parts 2 to 4 and hands all evidence to the directing assessor. They never mark S or NYS, never complete Part 7.3 and never tell the candidate a result. The directing assessor reviews the evidence, makes and signs the judgement, and names themselves on Part 7.</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2. Knowledge questions</w:t>
      </w:r>
    </w:p>
    <w:p>
      <w:pPr>
        <w:spacing w:before="0" w:after="120" w:line="276"/>
      </w:pPr>
      <w:r>
        <w:rPr>
          <w:rFonts w:ascii="Aptos" w:cs="Aptos" w:eastAsia="Aptos" w:hAnsi="Aptos"/>
          <w:color w:val="1E2833"/>
          <w:sz w:val="20"/>
          <w:szCs w:val="20"/>
        </w:rPr>
        <w:t xml:space="preserve">Three versions with the same questions and the same benchmarks: written (the candidate writes the answers below), oral (the assessor reads each question and records the answer) and picture-supported (the assessor shows the SRA-RTO-018 v2.0 card with each question; usually combined with the oral version). Record the version used in Part 6.</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52"/>
        <w:gridCol w:w="2400"/>
      </w:tblGrid>
      <w:tr>
        <w:trPr>
          <w:cantSplit/>
          <w:tblHeader/>
        </w:trPr>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Question</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Picture card (SRA-RTO-018 v2.0)</w:t>
            </w:r>
          </w:p>
        </w:tc>
      </w:tr>
      <w:tr>
        <w:trPr>
          <w:cantSplit/>
        </w:trPr>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Which SteelRiver rules and which code of practice tell you how to lift and move loads safely?</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1</w:t>
            </w:r>
          </w:p>
        </w:tc>
      </w:tr>
      <w:tr>
        <w:trPr>
          <w:cantSplit/>
        </w:trPr>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 Show me and tell me how you stand and hold your body to lift a carton from the floor. Why?</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2</w:t>
            </w:r>
          </w:p>
        </w:tc>
      </w:tr>
      <w:tr>
        <w:trPr>
          <w:cantSplit/>
        </w:trPr>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 What should your back not do while you carry a load? What do you do instead?</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4</w:t>
            </w:r>
          </w:p>
        </w:tc>
      </w:tr>
      <w:tr>
        <w:trPr>
          <w:cantSplit/>
        </w:trPr>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 How do a long distance, lifting many times and having little time change the risk?</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6</w:t>
            </w:r>
          </w:p>
        </w:tc>
      </w:tr>
      <w:tr>
        <w:trPr>
          <w:cantSplit/>
        </w:trPr>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 What do you check about a load before you lift it? Tell me about a liquid load and a load with a DG label.</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Cards 3 and 9</w:t>
            </w:r>
          </w:p>
        </w:tc>
      </w:tr>
      <w:tr>
        <w:trPr>
          <w:cantSplit/>
        </w:trPr>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 Look at the picture of inbound staging. What site features and obstacles must you think about on your route?</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8</w:t>
            </w:r>
          </w:p>
        </w:tc>
      </w:tr>
      <w:tr>
        <w:trPr>
          <w:cantSplit/>
        </w:trPr>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 How should the work area be set up before you start a manual handling task?</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10</w:t>
            </w:r>
          </w:p>
        </w:tc>
      </w:tr>
      <w:tr>
        <w:trPr>
          <w:cantSplit/>
        </w:trPr>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Q8. What do you do if a carton is heavier than the label says, or you feel pain while lifting?</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11</w:t>
            </w:r>
          </w:p>
        </w:tc>
      </w:tr>
    </w:tbl>
    <w:p>
      <w:pPr>
        <w:keepNext/>
        <w:spacing w:before="200" w:after="80"/>
      </w:pPr>
      <w:r>
        <w:rPr>
          <w:rFonts w:ascii="Aptos Display" w:cs="Aptos Display" w:eastAsia="Aptos Display" w:hAnsi="Aptos Display"/>
          <w:b/>
          <w:bCs/>
          <w:color w:val="4F7F80"/>
          <w:sz w:val="24"/>
          <w:szCs w:val="24"/>
        </w:rPr>
        <w:t xml:space="preserve">Answer record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 (written, oral, picture-supported) and interpreter (if any)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 date, start and finish time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p>
      <w:pPr>
        <w:keepNext/>
        <w:spacing w:before="0" w:after="60" w:line="276"/>
      </w:pPr>
      <w:r>
        <w:rPr>
          <w:rFonts w:ascii="Aptos" w:cs="Aptos" w:eastAsia="Aptos" w:hAnsi="Aptos"/>
          <w:b/>
          <w:bCs/>
          <w:color w:val="1E2833"/>
          <w:sz w:val="20"/>
          <w:szCs w:val="20"/>
        </w:rPr>
        <w:t xml:space="preserve">Q1. Which SteelRiver rules and which code of practice tell you how to lift and move loads safely?</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Q2. Show me and tell me how you stand and hold your body to lift a carton from the floor. Why?</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Q3. What should your back not do while you carry a load? What do you do instead?</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Q4. How do a long distance, lifting many times and having little time change the risk?</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Q5. What do you check about a load before you lift it? Tell me about a liquid load and a load with a DG label.</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Q6. Look at the picture of inbound staging. What site features and obstacles must you think about on your route?</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Q7. How should the work area be set up before you start a manual handling task?</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Q8. What do you do if a carton is heavier than the label says, or you feel pain while lifting?</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3. Observation checklist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Task</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 candidate does</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Task 1. Team lift</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Relocate a real load over 25 kg or awkward (for example a flat-pack shelving carton or a carton of bagged product) from a pallet to a pick face or shelf in the candidate's zone, with a workmate.</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Task 2. Using a lifting aid</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Move a real part pallet with a hand pallet truck from inbound staging to a ground-level location, along the walkways and crossings, and set it down.</w:t>
            </w: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 (and person collecting evidence under direction, if any)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times and locations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Task 1 load (label weight, description) and lift partner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Task 2 load and route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Contingency: natural (describe), prepared (describe) or none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Filmed: yes (consent date) or no</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p>
      <w:pPr>
        <w:spacing w:before="0" w:after="120" w:line="276"/>
      </w:pPr>
      <w:r>
        <w:rPr>
          <w:rFonts w:ascii="Aptos" w:cs="Aptos" w:eastAsia="Aptos" w:hAnsi="Aptos"/>
          <w:i/>
          <w:iCs/>
          <w:color w:val="1E2833"/>
          <w:sz w:val="20"/>
          <w:szCs w:val="20"/>
        </w:rPr>
        <w:t xml:space="preserve">Record S, NYS or N/A for each task, with the time and what you saw. O9 applies to Task 1 only (N/A in Task 2).</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900"/>
        <w:gridCol w:w="1200"/>
        <w:gridCol w:w="1200"/>
        <w:gridCol w:w="2752"/>
      </w:tblGrid>
      <w:tr>
        <w:trPr>
          <w:cantSplit/>
          <w:tblHeader/>
        </w:trPr>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3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Observable behaviour</w:t>
            </w:r>
          </w:p>
        </w:tc>
        <w:tc>
          <w:tcPr>
            <w:tcW w:type="dxa" w:w="1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Task 1 team lift</w:t>
            </w:r>
          </w:p>
        </w:tc>
        <w:tc>
          <w:tcPr>
            <w:tcW w:type="dxa" w:w="1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Task 2 lifting aid</w:t>
            </w:r>
          </w:p>
        </w:tc>
        <w:tc>
          <w:tcPr>
            <w:tcW w:type="dxa" w:w="2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 and what was seen</w:t>
            </w: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w:t>
            </w:r>
          </w:p>
        </w:tc>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the load: reads the label (weight, handling marks), checks size, shape, contents and condition</w:t>
            </w: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O2</w:t>
            </w:r>
          </w:p>
        </w:tc>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the destination and route; checks the route for traffic, hazards and obstacles and clears or reports them</w:t>
            </w: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O3</w:t>
            </w:r>
          </w:p>
        </w:tc>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Predicts the effect on the remaining load base and estimates the point of balance</w:t>
            </w: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O4</w:t>
            </w:r>
          </w:p>
        </w:tc>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Compares the clearance needed with the space available and adjusts</w:t>
            </w: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O5</w:t>
            </w:r>
          </w:p>
        </w:tc>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risks to self and chooses the method (team lift or aid) under the SteelRiver rule</w:t>
            </w: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O6</w:t>
            </w:r>
          </w:p>
        </w:tc>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Wears and uses the right PPE</w:t>
            </w: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O7</w:t>
            </w:r>
          </w:p>
        </w:tc>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Plans the move and says it (who, how, route, set down, what could go wrong)</w:t>
            </w: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O8</w:t>
            </w:r>
          </w:p>
        </w:tc>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Lifts, lowers, carries, pushes and pulls with correct technique</w:t>
            </w: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O9</w:t>
            </w:r>
          </w:p>
        </w:tc>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Coordinates the team lift with clear, agreed calls (Task 1 only)</w:t>
            </w: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w:t>
            </w: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O10</w:t>
            </w:r>
          </w:p>
        </w:tc>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Follows the planned process and route; adapts to contingencies</w:t>
            </w: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O11</w:t>
            </w:r>
          </w:p>
        </w:tc>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Sets the load down without damage and checks it is stable</w:t>
            </w: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O12</w:t>
            </w:r>
          </w:p>
        </w:tc>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Checks the relocation meets the work requirement and reports variances</w:t>
            </w: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Task 1 outcome (S / NYS) and reasons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Task 2 outcome (S / NYS) and reasons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4. Workplace supervisor report</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For the supervisor</w:t>
            </w:r>
          </w:p>
          <w:p>
            <w:pPr>
              <w:spacing w:before="0" w:after="60" w:line="276"/>
            </w:pPr>
            <w:r>
              <w:rPr>
                <w:rFonts w:ascii="Aptos" w:cs="Aptos" w:eastAsia="Aptos" w:hAnsi="Aptos"/>
                <w:color w:val="1E2833"/>
                <w:sz w:val="20"/>
                <w:szCs w:val="20"/>
              </w:rPr>
              <w:t xml:space="preserve">Thank you for helping. Please report what you have seen yourself while the candidate worked on your shift, using the Supervisor Guide (SRA-RTO-029). Give an example with a date for each item where you can. You do not decide whether the candidate is competent: the Academy assessor does. Please do not coach the candidate during the assessor's observation.</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Supervisor name and role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Period observed (dates and shifts)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000"/>
        <w:gridCol w:w="4052"/>
      </w:tblGrid>
      <w:tr>
        <w:trPr>
          <w:cantSplit/>
          <w:tblHeader/>
        </w:trPr>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4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to report on</w:t>
            </w:r>
          </w:p>
        </w:tc>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Yes / No</w:t>
            </w:r>
          </w:p>
        </w:tc>
        <w:tc>
          <w:tcPr>
            <w:tcW w:type="dxa" w:w="40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Example (date and what you saw)</w:t>
            </w:r>
          </w:p>
        </w:tc>
      </w:tr>
      <w:tr>
        <w:trPr>
          <w:cantSplit/>
          <w:trHeight w:val="9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SR1</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Assesses loads and routes: reads labels, checks weight, size and condition, checks the route and clears or reports hazards before moving a load</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SR2</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 and aid choice: uses a team lift or a lifting aid when the SteelRiver rule requires it</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SR3</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PPE: wears and uses the PPE required for the area</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SR4</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Communication and teamwork: agrees and calls team lifts clearly and works with others when handling loads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SR5</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Set down and checks: sets loads down without damage, checks they are stable and reports variances and problems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20" w:after="60" w:line="276"/>
      </w:pPr>
      <w:r>
        <w:rPr>
          <w:rFonts w:ascii="Aptos" w:cs="Aptos" w:eastAsia="Aptos" w:hAnsi="Aptos"/>
          <w:b/>
          <w:bCs/>
          <w:color w:val="1E2833"/>
          <w:sz w:val="20"/>
          <w:szCs w:val="20"/>
        </w:rPr>
        <w:t xml:space="preserve">Comments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20" w:after="120" w:line="276"/>
      </w:pPr>
      <w:r>
        <w:rPr>
          <w:rFonts w:ascii="Aptos" w:cs="Aptos" w:eastAsia="Aptos" w:hAnsi="Aptos"/>
          <w:color w:val="1E2833"/>
          <w:sz w:val="20"/>
          <w:szCs w:val="20"/>
        </w:rPr>
        <w:t xml:space="preserve">I wrote this report from my own observation of the candidate's work.</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Verified with the supervisor by the assessor (call or meeting, date, notes)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5. Marking guide (assessors only)</w:t>
      </w:r>
    </w:p>
    <w:p>
      <w:pPr>
        <w:keepNext/>
        <w:spacing w:before="200" w:after="80"/>
      </w:pPr>
      <w:r>
        <w:rPr>
          <w:rFonts w:ascii="Aptos Display" w:cs="Aptos Display" w:eastAsia="Aptos Display" w:hAnsi="Aptos Display"/>
          <w:b/>
          <w:bCs/>
          <w:color w:val="4F7F80"/>
          <w:sz w:val="24"/>
          <w:szCs w:val="24"/>
        </w:rPr>
        <w:t xml:space="preserve">5.1 Knowledge questions</w:t>
      </w:r>
    </w:p>
    <w:p>
      <w:pPr>
        <w:spacing w:before="0" w:after="120" w:line="276"/>
      </w:pPr>
      <w:r>
        <w:rPr>
          <w:rFonts w:ascii="Aptos" w:cs="Aptos" w:eastAsia="Aptos" w:hAnsi="Aptos"/>
          <w:color w:val="1E2833"/>
          <w:sz w:val="20"/>
          <w:szCs w:val="20"/>
        </w:rPr>
        <w:t xml:space="preserve">Mark each question S or NYS against the benchmark. A Satisfactory answer may use the candidate's own words, gestures, a demonstration or the picture cards. If an answer is incomplete, you may rephrase or ask a neutral follow-up once; record that you did.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4000"/>
        <w:gridCol w:w="2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Question</w:t>
            </w:r>
          </w:p>
        </w:tc>
        <w:tc>
          <w:tcPr>
            <w:tcW w:type="dxa" w:w="4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Benchmark</w:t>
            </w:r>
          </w:p>
        </w:tc>
        <w:tc>
          <w:tcPr>
            <w:tcW w:type="dxa" w:w="2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Satisfactory when</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Which SteelRiver rules and which code of practice tell you how to lift and move loads safely?</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manual handling rule (draft SRL-CR-041): over 16 kg team lift or mechanical aid; over 25 kg or awkward never alone. WorkSafe WA Code of practice: Hazardous manual tasks. SRL-CR-043 walkways and crossings; SRL-CR-042 for pallet jacks. Report hazards to the lead or supervisor</w:t>
            </w: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States the 16 kg and 25 kg rule and one other source (the code of practice or the traffic rules)</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 Show me and tell me how you stand and hold your body to lift a carton from the floor. Why?</w:t>
            </w:r>
          </w:p>
        </w:tc>
        <w:tc>
          <w:tcPr>
            <w:tcW w:type="dxa" w:w="4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Feet apart, close to the load, bend the knees, back straight, load close to the body, smooth lift with the legs; reduces load on the spine</w:t>
            </w:r>
          </w:p>
        </w:tc>
        <w:tc>
          <w:tcPr>
            <w:tcW w:type="dxa" w:w="2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Shows or describes at least four of the posture points and links them to the load on the spine</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 What should your back not do while you carry a load? What do you do instead?</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 not twist or bend sideways with the load; turn by moving the feet; controlled, smooth movements, no jerking</w:t>
            </w: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States no twisting and no side bending and that you turn with your feet</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 How do a long distance, lifting many times and having little time change the risk?</w:t>
            </w:r>
          </w:p>
        </w:tc>
        <w:tc>
          <w:tcPr>
            <w:tcW w:type="dxa" w:w="4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Longer distance, higher frequency and rushing all increase risk; use a pallet truck for distance; rotate tasks and take micro-breaks; do not rush, tell the lead if the time is not realistic</w:t>
            </w:r>
          </w:p>
        </w:tc>
        <w:tc>
          <w:tcPr>
            <w:tcW w:type="dxa" w:w="2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Explains the effect of all three (distance, frequency, time) with a control for at least two</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 What do you check about a load before you lift it? Tell me about a liquid load and a load with a DG label.</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Weight on the label, size and shape, heavy end or balance arrow, contents that shift (liquids), leaks or damage; DG labels: do not handle damaged or leaking DG, report it</w:t>
            </w: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Names weight and two other checks, and correct actions for liquid and DG loads</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 Look at the picture of inbound staging. What site features and obstacles must you think about on your route?</w:t>
            </w:r>
          </w:p>
        </w:tc>
        <w:tc>
          <w:tcPr>
            <w:tcW w:type="dxa" w:w="4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Forklifts and reach trucks (beacons, reversing), walkways and yellow crossings, pallets or wrap on the floor, dock levellers and doors, racking uprights, wet floors</w:t>
            </w:r>
          </w:p>
        </w:tc>
        <w:tc>
          <w:tcPr>
            <w:tcW w:type="dxa" w:w="2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Names at least four relevant features or obstacles</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 How should the work area be set up before you start a manual handling task?</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Clear space and route, set-down location ready with room, aids in place before lifting, loads at a good height where possible</w:t>
            </w: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Names at least three set-up actions</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Q8. What do you do if a carton is heavier than the label says, or you feel pain while lifting?</w:t>
            </w:r>
          </w:p>
        </w:tc>
        <w:tc>
          <w:tcPr>
            <w:tcW w:type="dxa" w:w="4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set the load down safely, get help (team lift) or an aid, tell the lead or supervisor; report pain or injury</w:t>
            </w:r>
          </w:p>
        </w:tc>
        <w:tc>
          <w:tcPr>
            <w:tcW w:type="dxa" w:w="2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States stop, set down safely, get help or an aid, and report</w:t>
            </w:r>
          </w:p>
        </w:tc>
      </w:tr>
    </w:tbl>
    <w:p>
      <w:pPr>
        <w:keepNext/>
        <w:spacing w:before="200" w:after="80"/>
      </w:pPr>
      <w:r>
        <w:rPr>
          <w:rFonts w:ascii="Aptos Display" w:cs="Aptos Display" w:eastAsia="Aptos Display" w:hAnsi="Aptos Display"/>
          <w:b/>
          <w:bCs/>
          <w:color w:val="4F7F80"/>
          <w:sz w:val="24"/>
          <w:szCs w:val="24"/>
        </w:rPr>
        <w:t xml:space="preserve">5.2 Observation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852"/>
      </w:tblGrid>
      <w:tr>
        <w:trPr>
          <w:cantSplit/>
          <w:tblHeader/>
        </w:trPr>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88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Satisfactory when the candidate</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Reads the weight and handling marks on the label and checks size, shape, contents and condition before handling</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O2</w:t>
            </w:r>
          </w:p>
        </w:tc>
        <w:tc>
          <w:tcPr>
            <w:tcW w:type="dxa" w:w="8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the destination, checks the route (traffic, crossings, obstacles) and clears or reports any hazard before moving</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O3</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Says or shows how the remaining load will be affected and where the heavy end or point of balance is</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O4</w:t>
            </w:r>
          </w:p>
        </w:tc>
        <w:tc>
          <w:tcPr>
            <w:tcW w:type="dxa" w:w="8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Checks the clearance at the destination against the load and adjusts (for example removes a divider, chooses another shelf)</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O5</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the risks to self and chooses a team lift or an aid in line with the SteelRiver rule (over 16 kg team lift or aid; over 25 kg or awkward never alone)</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O6</w:t>
            </w:r>
          </w:p>
        </w:tc>
        <w:tc>
          <w:tcPr>
            <w:tcW w:type="dxa" w:w="8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Wears the hi-vis vest, safety boots and gloves and uses them correctly throughout</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O7</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States the plan before moving: who, how, route, set-down and what could go wrong</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O8</w:t>
            </w:r>
          </w:p>
        </w:tc>
        <w:tc>
          <w:tcPr>
            <w:tcW w:type="dxa" w:w="8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correct technique throughout: knees bent, back straight, load close, no twisting, pushes the pallet truck with both hands</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O9</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Coordinates the team lift with clear, agreed calls (Task 1 only)</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O10</w:t>
            </w:r>
          </w:p>
        </w:tc>
        <w:tc>
          <w:tcPr>
            <w:tcW w:type="dxa" w:w="8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Follows the planned process and route and adapts safely to any contingency</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O11</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Sets the load down without damage and checks it is stable</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O12</w:t>
            </w:r>
          </w:p>
        </w:tc>
        <w:tc>
          <w:tcPr>
            <w:tcW w:type="dxa" w:w="8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Checks the relocation meets the work requirement and reports variances to the lead or supervisor</w:t>
            </w:r>
          </w:p>
        </w:tc>
      </w:tr>
    </w:tbl>
    <w:p>
      <w:pPr>
        <w:spacing w:before="120" w:after="120" w:line="276"/>
      </w:pPr>
      <w:r>
        <w:rPr>
          <w:rFonts w:ascii="Aptos" w:cs="Aptos" w:eastAsia="Aptos" w:hAnsi="Aptos"/>
          <w:color w:val="1E2833"/>
          <w:sz w:val="20"/>
          <w:szCs w:val="20"/>
        </w:rPr>
        <w:t xml:space="preserve">Each task is Satisfactory only when every applicable item is S. An item not seen is NYS for that task, never ticked from memory, a report or a comment.</w:t>
      </w:r>
    </w:p>
    <w:p>
      <w:pPr>
        <w:keepNext/>
        <w:spacing w:before="200" w:after="80"/>
      </w:pPr>
      <w:r>
        <w:rPr>
          <w:rFonts w:ascii="Aptos Display" w:cs="Aptos Display" w:eastAsia="Aptos Display" w:hAnsi="Aptos Display"/>
          <w:b/>
          <w:bCs/>
          <w:color w:val="4F7F80"/>
          <w:sz w:val="24"/>
          <w:szCs w:val="24"/>
        </w:rPr>
        <w:t xml:space="preserve">5.3 Supervisor report</w:t>
      </w:r>
    </w:p>
    <w:p>
      <w:pPr>
        <w:spacing w:before="0" w:after="120" w:line="276"/>
      </w:pPr>
      <w:r>
        <w:rPr>
          <w:rFonts w:ascii="Aptos" w:cs="Aptos" w:eastAsia="Aptos" w:hAnsi="Aptos"/>
          <w:color w:val="1E2833"/>
          <w:sz w:val="20"/>
          <w:szCs w:val="20"/>
        </w:rPr>
        <w:t xml:space="preserve">Satisfactory when the report is from the candidate's supervisor, covers the period of practice, is consistent with the observed evidence and has been verified with its author. It supports the observation over time; it never replaces an observed item. If it conflicts with what you saw or with other records, set it aside, check with its author and seek moderation (SRA-RTO-003 sections 7 and 9).</w:t>
      </w:r>
    </w:p>
    <w:p>
      <w:pPr>
        <w:keepNext/>
        <w:spacing w:before="200" w:after="80"/>
      </w:pPr>
      <w:r>
        <w:rPr>
          <w:rFonts w:ascii="Aptos Display" w:cs="Aptos Display" w:eastAsia="Aptos Display" w:hAnsi="Aptos Display"/>
          <w:b/>
          <w:bCs/>
          <w:color w:val="4F7F80"/>
          <w:sz w:val="24"/>
          <w:szCs w:val="24"/>
        </w:rPr>
        <w:t xml:space="preserve">5.4 Unit decision</w:t>
      </w:r>
    </w:p>
    <w:p>
      <w:pPr>
        <w:spacing w:before="0" w:after="120" w:line="276"/>
      </w:pPr>
      <w:r>
        <w:rPr>
          <w:rFonts w:ascii="Aptos" w:cs="Aptos" w:eastAsia="Aptos" w:hAnsi="Aptos"/>
          <w:color w:val="1E2833"/>
          <w:sz w:val="20"/>
          <w:szCs w:val="20"/>
        </w:rPr>
        <w:t xml:space="preserve">Competent when Part 2 (all 8 questions), Part 3 (both tasks) and Part 4 are Satisfactory. Otherwise Not Yet Competent: give specific feedback and agree a further attempt on the gap items only, with the same tool and benchmarks (SRA-RTO-003 section 10).</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6. Customisation and Adjustment Record</w:t>
      </w:r>
    </w:p>
    <w:p>
      <w:pPr>
        <w:spacing w:before="0" w:after="120" w:line="276"/>
      </w:pPr>
      <w:r>
        <w:rPr>
          <w:rFonts w:ascii="Aptos" w:cs="Aptos" w:eastAsia="Aptos" w:hAnsi="Aptos"/>
          <w:color w:val="1E2833"/>
          <w:sz w:val="20"/>
          <w:szCs w:val="20"/>
        </w:rPr>
        <w:t xml:space="preserve">Complete before the assessment (SRA-RTO-003 section 6). Customisation for language and literacy and reasonable adjustment for disability are recorded here in the same way. Adjustments change how evidence is gathered (format, time, setting, support), never what TLID0020 requires. Agree every reasonable adjustment with the candidate and Leanne Okafor (LLN lead). Review the record if the candidate's needs change.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52"/>
      </w:tblGrid>
      <w:tr>
        <w:trPr>
          <w:cantSplit/>
          <w:tblHeader/>
        </w:trPr>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 field</w:t>
            </w:r>
          </w:p>
        </w:tc>
        <w:tc>
          <w:tcPr>
            <w:tcW w:type="dxa" w:w="6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Entry</w:t>
            </w: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 name and unit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Units and tools (version)</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Need identified (only what is needed; source, for example LLN support plan or disclosure with consent)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Contextualisation (work area, shift, loads, equipment, team members)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Customisation or reasonable adjustment (format, time, setting, support; interpreter booked through People and Culture)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What stays the same (requirements, tasks, benchmarks, standard, who judges)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Agreed by (candidate, assessor, LLN lead) and date; candidate's spoken agreement recorded if they cannot write in English</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Resources and bookings (interpreter, room, cards, large-type sheets)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Review (when, and what would trigger a review)</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7. Assessment record and Competency Judgement Record</w:t>
      </w:r>
    </w:p>
    <w:p>
      <w:pPr>
        <w:keepNext/>
        <w:spacing w:before="200" w:after="80"/>
      </w:pPr>
      <w:r>
        <w:rPr>
          <w:rFonts w:ascii="Aptos Display" w:cs="Aptos Display" w:eastAsia="Aptos Display" w:hAnsi="Aptos Display"/>
          <w:b/>
          <w:bCs/>
          <w:color w:val="4F7F80"/>
          <w:sz w:val="24"/>
          <w:szCs w:val="24"/>
        </w:rPr>
        <w:t xml:space="preserve">7.1 Notice and pre-assessment briefing</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 name and SMS student ID</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and tool version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 (and directing assessor, if evidence is collected under direction)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Written notice given on (at least 5 business days before the first assessment event)</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Briefing date, time and place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Briefing covered: process, standard, customisation or adjustment, right to appeal (SRA-RTO-008); candidate understands, agrees and is ready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 signature, or spoken agreement recorded by the assessor (with the interpreter's name)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7.2 Instrument outcomes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1500"/>
        <w:gridCol w:w="1100"/>
        <w:gridCol w:w="39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Date(s)</w:t>
            </w:r>
          </w:p>
        </w:tc>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 or NYS</w:t>
            </w:r>
          </w:p>
        </w:tc>
        <w:tc>
          <w:tcPr>
            <w:tcW w:type="dxa" w:w="3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Reasons</w:t>
            </w:r>
          </w:p>
        </w:tc>
      </w:tr>
      <w:tr>
        <w:trPr>
          <w:cantSplit/>
          <w:trHeight w:val="600" w:hRule="atLeas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knowledge questions Q1 to Q8</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 1 team lift</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 2 using a lifting aid</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4 supervisor report</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7.3 Competency Judgement Record</w:t>
      </w:r>
    </w:p>
    <w:p>
      <w:pPr>
        <w:spacing w:before="0" w:after="120" w:line="276"/>
      </w:pPr>
      <w:r>
        <w:rPr>
          <w:rFonts w:ascii="Aptos" w:cs="Aptos" w:eastAsia="Aptos" w:hAnsi="Aptos"/>
          <w:color w:val="1E2833"/>
          <w:sz w:val="20"/>
          <w:szCs w:val="20"/>
        </w:rPr>
        <w:t xml:space="preserve">Make the unit judgement only when every required instrument is Satisfactory and all the evidence the tool requires has been received and reviewed. Never list evidence as "to follow" (SRA-RTO-003 section 8).</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52"/>
      </w:tblGrid>
      <w:tr>
        <w:trPr>
          <w:cantSplit/>
          <w:tblHeader/>
        </w:trPr>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Field</w:t>
            </w:r>
          </w:p>
        </w:tc>
        <w:tc>
          <w:tcPr>
            <w:tcW w:type="dxa" w:w="6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Entry</w:t>
            </w: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Evidence relied on (instrument and date)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Evidence set aside, and why</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How the rules of evidence were met (valid, sufficient, authentic, current)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How the principles of assessment were met (fair, flexible, valid, reliable)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Customisation and adjustments (Part 6)</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Moderation: required? (any RPL judgement; any judgement where third party evidence is set aside). Moderator, date and outcome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Judgement: Competent or Not Yet Competent, with reasons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to the candidate (specific: what was shown, what was not yet shown, what to do next) and date given</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Further attempt plan, if Not Yet Competent (up to two further attempts)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7.4 Declarations and signatures</w:t>
      </w:r>
    </w:p>
    <w:p>
      <w:pPr>
        <w:spacing w:before="0" w:after="120" w:line="276"/>
      </w:pPr>
      <w:r>
        <w:rPr>
          <w:rFonts w:ascii="Aptos" w:cs="Aptos" w:eastAsia="Aptos" w:hAnsi="Aptos"/>
          <w:color w:val="1E2833"/>
          <w:sz w:val="20"/>
          <w:szCs w:val="20"/>
        </w:rPr>
        <w:t xml:space="preserve">Candidate: the evidence I have given is my own work. I have been told the outcome, the reasons and my right to appeal within 30 days (SRA-RTO-008).</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(judgement)</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Directing assessor (if evidence collected under direction)</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Moderator (if required)</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Results and records sent to Ivy Chua, Student Services (within 5 business days of the final assessment)</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 Assessment Feedback Form (SRA-RTO-030) offered 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Recordings uploaded to the SMS candidate file and camera copies deleted (date)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Mapping summary</w:t>
      </w:r>
    </w:p>
    <w:p>
      <w:pPr>
        <w:spacing w:before="0" w:after="120" w:line="276"/>
      </w:pPr>
      <w:r>
        <w:rPr>
          <w:rFonts w:ascii="Aptos" w:cs="Aptos" w:eastAsia="Aptos" w:hAnsi="Aptos"/>
          <w:color w:val="1E2833"/>
          <w:sz w:val="20"/>
          <w:szCs w:val="20"/>
        </w:rPr>
        <w:t xml:space="preserve">Instrument codes: KQ knowledge question (Part 2); T1 and T2 observed tasks (Part 3); SR supervisor report (Part 4). The full mapping, one row per requirement, is in SRA-RTO-027.</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blHeader/>
        </w:trPr>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TLID0020 requirement</w:t>
            </w:r>
          </w:p>
        </w:tc>
        <w:tc>
          <w:tcPr>
            <w:tcW w:type="dxa" w:w="6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Mapped to (SRA-RTO-021)</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 (PCs 1.1 to 1.12)</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items O1 to O7; SR items 1 to 3</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2 (PCs 2.1 to 2.3)</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items O5 and O7; KQ1</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3 (PCs 3.1 to 3.5)</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items O8 to O12 (O9 team lift only, in T1); SR items 4 and 5</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to PE11</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(all items); PE3 and PE10 also SR item 4; PE7 also KQ1 and O1 (reads labels and handling marks)</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procedures and codes</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KE2a to KE2h risks and controls</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KQ2 (KE2d, KE2e), KQ3 (KE2a, KE2f), KQ4 (KE2b, KE2c, KE2g), KQ5 (KE2h), KQ8 (controls)</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 site layout and obstacles</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KQ6</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 work layout</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KQ7</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on shift, real loads and equipment, PPE, SteelRiver procedures; oral and picture-supported versions for LLN needs; not online for final assessment; assessor credential checked against SRA-RTO-041</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25 February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Approved with changes at the pre-use review (Rohan Desai, Tom Bellamy, Trainer and Assessor TA-03). Q1 and benchmark updated to the SteelRiver rule (draft SRL-CR-041) and the WorkSafe WA Code of practice: Hazardous manual tasks; online quiz option removed; Task 1 team lift observed, with item O9; oral and picture-supported versions with SRA-RTO-018 v2.0 cards; observable behaviours and decision rules added; Q4 covers distance, frequency and time; Q7 work layout added (former Q7 is now Q8); prepared contingency allowed; mapping corrected (SRA-RTO-027 v1.0). Changes checked by Rohan Desai before issue.</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0.3 DRAFT</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 February 2026</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Draft for the pre-use review.</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0.1 DRAFT</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January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draft for TLID0020 release 1 (TLI30325).</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SRA-RTO-021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SRA-RTO-021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SRA-RTO-021  ·  TLID0020 Assessment Tool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SRA-RTO-021 TLID0020 Assessment Tool</dc:title>
  <dc:creator>SteelRiver Logistics Pty Ltd trading as SteelRiver Academy</dc:creator>
  <cp:lastModifiedBy>Un-named</cp:lastModifiedBy>
  <cp:revision>1</cp:revision>
  <dcterms:created xsi:type="dcterms:W3CDTF">2026-11-01T14:49:46.901Z</dcterms:created>
  <dcterms:modified xsi:type="dcterms:W3CDTF">2026-11-01T14:49:46.901Z</dcterms:modified>
</cp:coreProperties>
</file>

<file path=docProps/custom.xml><?xml version="1.0" encoding="utf-8"?>
<Properties xmlns="http://schemas.openxmlformats.org/officeDocument/2006/custom-properties" xmlns:vt="http://schemas.openxmlformats.org/officeDocument/2006/docPropsVTypes"/>
</file>