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84"/>
        <w:gridCol w:w="3600"/>
      </w:tblGrid>
      <w:tr>
        <w:tc>
          <w:tcPr>
            <w:tcW w:type="dxa" w:w="11084"/>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FORM</w:t>
            </w:r>
          </w:p>
          <w:p>
            <w:pPr>
              <w:spacing w:after="0"/>
              <w:jc w:val="right"/>
            </w:pPr>
            <w:r>
              <w:rPr>
                <w:rFonts w:ascii="Aptos Display" w:cs="Aptos Display" w:eastAsia="Aptos Display" w:hAnsi="Aptos Display"/>
                <w:b/>
                <w:bCs/>
                <w:color w:val="0E4D4F"/>
                <w:sz w:val="36"/>
                <w:szCs w:val="36"/>
              </w:rPr>
              <w:t xml:space="preserve">SRA-RTO-027</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Assessment Mapping Pack: TLID0020, TLIF3003, TLIA0010</w:t>
      </w:r>
    </w:p>
    <w:p>
      <w:pPr>
        <w:spacing w:before="0" w:after="160" w:line="276"/>
      </w:pPr>
      <w:r>
        <w:rPr>
          <w:rFonts w:ascii="Aptos" w:cs="Aptos" w:eastAsia="Aptos" w:hAnsi="Aptos"/>
          <w:color w:val="4F7F80"/>
          <w:sz w:val="24"/>
          <w:szCs w:val="24"/>
        </w:rPr>
        <w:t xml:space="preserve">Completed mappings on SRA-RTO-026 for SRA-RTO-021, SRA-RTO-022 and SRA-RTO-023</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71"/>
        <w:gridCol w:w="3671"/>
        <w:gridCol w:w="3671"/>
        <w:gridCol w:w="3671"/>
      </w:tblGrid>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SRA-RTO-027</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0.9 DRAFT</w:t>
            </w:r>
          </w:p>
        </w:tc>
      </w:tr>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Rohan Desai, Quality and Compliance Coordinator</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Draft, February 2026 (for the pre-use review on Wednesday 25 February 2026)</w:t>
            </w:r>
          </w:p>
        </w:tc>
      </w:tr>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Not yet approved (draft for the pre-use review panel)</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Pre-use review, Wednesday 25 February 2026</w:t>
            </w:r>
          </w:p>
        </w:tc>
      </w:tr>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Validation panel members, tool developers and Academy assessors</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Purpose and how to read this pack</w:t>
      </w:r>
    </w:p>
    <w:p>
      <w:pPr>
        <w:spacing w:before="0" w:after="120" w:line="276"/>
      </w:pPr>
      <w:r>
        <w:rPr>
          <w:rFonts w:ascii="Aptos" w:cs="Aptos" w:eastAsia="Aptos" w:hAnsi="Aptos"/>
          <w:color w:val="1E2833"/>
          <w:sz w:val="20"/>
          <w:szCs w:val="20"/>
        </w:rPr>
        <w:t xml:space="preserve">This pack maps each of the Academy's three High-risk unit tools against the current release of its unit on training.gov.au, on the SRA-RTO-026 Assessment Mapping Template. It shows where every element and performance criterion, performance evidence item, knowledge evidence item, the foundation skills and every assessment condition is collected, so that the pre-use review (Standard 1.3) and validation (Standard 1.5) can check coverage line by line. This is the draft supplied with the tools for the pre-use review on Wednesday 25 February 2026.</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200"/>
        <w:gridCol w:w="4200"/>
        <w:gridCol w:w="4284"/>
      </w:tblGrid>
      <w:tr>
        <w:trPr>
          <w:cantSplit/>
          <w:tblHeader/>
        </w:trPr>
        <w:tc>
          <w:tcPr>
            <w:tcW w:type="dxa" w:w="6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 (release)</w:t>
            </w:r>
          </w:p>
        </w:tc>
        <w:tc>
          <w:tcPr>
            <w:tcW w:type="dxa" w:w="4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Tool</w:t>
            </w:r>
          </w:p>
        </w:tc>
        <w:tc>
          <w:tcPr>
            <w:tcW w:type="dxa" w:w="42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Developer</w:t>
            </w:r>
          </w:p>
        </w:tc>
      </w:tr>
      <w:tr>
        <w:trPr>
          <w:cantSplit/>
        </w:trPr>
        <w:tc>
          <w:tcPr>
            <w:tcW w:type="dxa" w:w="6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 Shift materials safely using manual handling methods (Release 1)</w:t>
            </w:r>
          </w:p>
        </w:tc>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SRA-RTO-021 v0.3 DRAFT</w:t>
            </w:r>
          </w:p>
        </w:tc>
        <w:tc>
          <w:tcPr>
            <w:tcW w:type="dxa" w:w="42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w:t>
            </w:r>
          </w:p>
        </w:tc>
      </w:tr>
      <w:tr>
        <w:trPr>
          <w:cantSplit/>
        </w:trPr>
        <w:tc>
          <w:tcPr>
            <w:tcW w:type="dxa" w:w="6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TLIF3003 Implement and monitor work health and safety procedures (Release 2)</w:t>
            </w:r>
          </w:p>
        </w:tc>
        <w:tc>
          <w:tcPr>
            <w:tcW w:type="dxa" w:w="4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SRA-RTO-022 v0.2 DRAFT</w:t>
            </w:r>
          </w:p>
        </w:tc>
        <w:tc>
          <w:tcPr>
            <w:tcW w:type="dxa" w:w="42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w:t>
            </w:r>
          </w:p>
        </w:tc>
      </w:tr>
      <w:tr>
        <w:trPr>
          <w:cantSplit/>
        </w:trPr>
        <w:tc>
          <w:tcPr>
            <w:tcW w:type="dxa" w:w="6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 Identify goods and store to specifications (Release 1)</w:t>
            </w:r>
          </w:p>
        </w:tc>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SRA-RTO-023 v2.0 DRAFT</w:t>
            </w:r>
          </w:p>
        </w:tc>
        <w:tc>
          <w:tcPr>
            <w:tcW w:type="dxa" w:w="42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Leanne Okafor</w:t>
            </w:r>
          </w:p>
        </w:tc>
      </w:tr>
    </w:tbl>
    <w:p>
      <w:pPr>
        <w:spacing w:after="120"/>
      </w:pPr>
    </w:p>
    <w:p>
      <w:pPr>
        <w:spacing w:before="0" w:after="120" w:line="276"/>
      </w:pPr>
      <w:r>
        <w:rPr>
          <w:rFonts w:ascii="Aptos" w:cs="Aptos" w:eastAsia="Aptos" w:hAnsi="Aptos"/>
          <w:color w:val="1E2833"/>
          <w:sz w:val="20"/>
          <w:szCs w:val="20"/>
        </w:rPr>
        <w:t xml:space="preserve">Codes: E element; PE performance evidence; KE knowledge evidence; FS foundation skills; AC assessment conditions (AC-1 onwards are the lead-in statements, AC1 onwards the listed resources, ACA the assessor credential). Instruments: Q or KQ knowledge question; O, W or I observation item; T1, T2 observed tasks; SR supervisor report item; Stage workplace project stage. Unit text is quoted from training.gov.au; where a unit is updated, this pack is updated before the tool is next used.</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TLID0020 Shift materials safely using manual handling methods</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11284"/>
      </w:tblGrid>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 and release</w:t>
            </w:r>
          </w:p>
        </w:tc>
        <w:tc>
          <w:tcPr>
            <w:tcW w:type="dxa" w:w="112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TLID0020 Shift materials safely using manual handling methods, release 1 (22/11/2021), https://training.gov.au/Training/Details/TLID0020</w:t>
            </w:r>
          </w:p>
        </w:tc>
      </w:tr>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Tool</w:t>
            </w:r>
          </w:p>
        </w:tc>
        <w:tc>
          <w:tcPr>
            <w:tcW w:type="dxa" w:w="112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SRA-RTO-021 TLID0020 Assessment Tool v0.3 DRAFT (Craig Moretti)</w:t>
            </w:r>
          </w:p>
        </w:tc>
      </w:tr>
    </w:tbl>
    <w:p>
      <w:pPr>
        <w:keepNext/>
        <w:spacing w:before="200" w:after="80"/>
      </w:pPr>
      <w:r>
        <w:rPr>
          <w:rFonts w:ascii="Aptos Display" w:cs="Aptos Display" w:eastAsia="Aptos Display" w:hAnsi="Aptos Display"/>
          <w:b/>
          <w:bCs/>
          <w:color w:val="4F7F80"/>
          <w:sz w:val="24"/>
          <w:szCs w:val="24"/>
        </w:rPr>
        <w:t xml:space="preserve">2.1 Mapping (one row per requirement)</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5300"/>
        <w:gridCol w:w="2300"/>
        <w:gridCol w:w="3600"/>
        <w:gridCol w:w="2484"/>
      </w:tblGrid>
      <w:tr>
        <w:trPr>
          <w:cantSplit/>
          <w:tblHeader/>
        </w:trPr>
        <w:tc>
          <w:tcPr>
            <w:tcW w:type="dxa" w:w="1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Code</w:t>
            </w:r>
          </w:p>
        </w:tc>
        <w:tc>
          <w:tcPr>
            <w:tcW w:type="dxa" w:w="5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 requirement (training.gov.au text)</w:t>
            </w:r>
          </w:p>
        </w:tc>
        <w:tc>
          <w:tcPr>
            <w:tcW w:type="dxa" w:w="2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Tool task</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Instrument and item or question number</w:t>
            </w:r>
          </w:p>
        </w:tc>
        <w:tc>
          <w:tcPr>
            <w:tcW w:type="dxa" w:w="24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Notes</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Element 1: Assess risks associated with relocating load</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Products, goods or materials to be relocated are identified and assessed to determine appropriate relocation method</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 to O6; SR1 to SR3</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Storage locations are determined and potential routes to be followed are identified</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 to O6; SR1 to SR3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Effect of load relocation on original load base is predicted</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 to O6; SR1 to SR3</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Points of balance are estimated</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 to O6; SR1 to SR3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1.5</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Required clearances are compared to available space and adjustments are made to moving loads to reflect required clearance</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 to O6; SR1 to SR3</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1.6</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Worksite hazards are identified, and corrective action is taken prior to commencing shifting products, goods or materials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 to O6; SR1 to SR3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1.7</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Risks in potential routes are considered</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 to O6; SR1 to SR3</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1.8</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Risks to self are identified arising from the required lifting, load carrying, set down or movement of products, goods or materials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 to O6; SR1 to SR3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1.9</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Manual handling procedures for lifting, lowering and carrying, pushing and pulling are identified</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 to O6; SR1 to SR3</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1.10</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Team lifting processes are considered when moving loads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 to O6; SR1 to SR3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1.11</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Appropriate personal protective equipment (PPE) is identified and used</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 to O6; SR1 to SR3</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1.12</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Size to weight ratio of items to be manually handled are identified</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O1 to O6; SR1 to SR3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Element 2: Plan load relocation</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Relocation of the load is planned consistent with the code of practice for manual handling and in accordance with the risk assessment</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 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O7; Q1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Process for relocating load is proposed, including predicting and planning for potential difficulties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 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O7; Q1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Proposed process is checked for compliance with codes of practice and workplace procedures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 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O7; Q1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E3</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Element 3: Relocate load</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Actions for lifting, lowering and carrying, pulling and pushing a load are in accordance with workplace procedures and WHS/OHS requirements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O8 to O11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Team lifting tasks are coordinated</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1</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1 oral explanation (Q8); SR4</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3.2 Team lifting tasks are coordinated</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Planned process and route are followed</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O8 to O11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3.4</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Relocated products, goods or materials are set down without damage to goods, personnel or equipment and are checked for stability</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O8 to O11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3.5</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Relocation is checked to ensure it meets work requirements and variances are reported to relevant personnel</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O8 to O11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PE</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Performance evidence.</w:t>
            </w:r>
            <w:r>
              <w:rPr>
                <w:rFonts w:ascii="Aptos" w:cs="Aptos" w:eastAsia="Aptos" w:hAnsi="Aptos"/>
                <w:color w:val="1E2833"/>
                <w:sz w:val="20"/>
                <w:szCs w:val="20"/>
              </w:rPr>
              <w:t xml:space="preserve"> </w:t>
            </w:r>
            <w:r>
              <w:rPr>
                <w:rFonts w:ascii="Aptos" w:cs="Aptos" w:eastAsia="Aptos" w:hAnsi="Aptos"/>
                <w:i/>
                <w:iCs/>
                <w:color w:val="1E2833"/>
                <w:sz w:val="20"/>
                <w:szCs w:val="20"/>
              </w:rPr>
              <w:t xml:space="preserve">Evidence required to demonstrate competence in this unit must be relevant to and satisfy all the requirements of the elements and performance criteria on at least one occasion and include:</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applying and following relevant work health and safety (WHS)/occupational health and safety (OHS) regulations and workplace procedures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items</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applying precautions and required action to minimise, control or eliminate risks that may exist when manually lifting and handling products, goods or materials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items</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communicating effectively with others when manually lifting and handling products, goods or materials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 Task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items; Q8 and SR4</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PE4</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interpreting manual handling risks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items</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PE5</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modifying activities depending on operational contingencies, risk situations and environments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O9</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PE6</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operating and adapting to differences in loads and products, goods or materials in accordance with workplace procedures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items</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PE7</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reading and interpreting instructions, procedures and information relevant to the manual lifting and handling of products, goods or materials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items</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PE8</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selecting and using required personal protective equipment (PPE) conforming to industry and WHS/OHS standards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items</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PE9</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using correct manual handling practices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items</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PE10</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working collaboratively with others when manually lifting and handling products, goods or materials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 Task 1</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items; Q8 and SR4</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working systematically with required attention to detail without injury to self or others, or damage to products, goods, materials, or equipment.</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items</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KE</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Knowledge evidence.</w:t>
            </w:r>
            <w:r>
              <w:rPr>
                <w:rFonts w:ascii="Aptos" w:cs="Aptos" w:eastAsia="Aptos" w:hAnsi="Aptos"/>
                <w:color w:val="1E2833"/>
                <w:sz w:val="20"/>
                <w:szCs w:val="20"/>
              </w:rPr>
              <w:t xml:space="preserve"> </w:t>
            </w:r>
            <w:r>
              <w:rPr>
                <w:rFonts w:ascii="Aptos" w:cs="Aptos" w:eastAsia="Aptos" w:hAnsi="Aptos"/>
                <w:i/>
                <w:iCs/>
                <w:color w:val="1E2833"/>
                <w:sz w:val="20"/>
                <w:szCs w:val="20"/>
              </w:rPr>
              <w:t xml:space="preserve">Evidence required to demonstrate competence in this unit must be relevant to and satisfy all the requirements of the elements and performance criteria and include knowledge of:</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relevant WHS/OHS workplace procedures, codes of practice and industry guidelines concerning the manual lifting and movement of loads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risks when manually lifting and handling products, goods or materials and related precautions to control the risk, including:</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KE2a</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controlled actions on a movement during lifting</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KE2b</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distance over which load is to be shifted</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Q4</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Distance, frequency, time allowed</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KE2c</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frequency of shifting operations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Q4</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Distance, frequency, time allowed</w:t>
            </w: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KE2d</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load on the spine during lifting</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Q2</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KE2e</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postures and positions during lifting</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Q2</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KE2f</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rotation and side movement of the spine during lifting</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Q3</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KE2g</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time allowed for shifting the load</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Q4</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Distance, frequency, time allowed</w:t>
            </w: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KE2h</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type, weight and position of the load, including loose, liquid, dangerous or hazardous products, goods or materials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Q5</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site layout and obstacles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Q6</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Site layout and obstacles; work layout</w:t>
            </w: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KE4</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layout.</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Q6</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Site layout and obstacles; work layout</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FS</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Foundation skills.</w:t>
            </w:r>
            <w:r>
              <w:rPr>
                <w:rFonts w:ascii="Aptos" w:cs="Aptos" w:eastAsia="Aptos" w:hAnsi="Aptos"/>
                <w:color w:val="1E2833"/>
                <w:sz w:val="20"/>
                <w:szCs w:val="20"/>
              </w:rPr>
              <w:t xml:space="preserve"> Foundation skills essential to performance are explicit in the performance criteria of this unit of competency.</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tasks</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Through the PCs</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AC</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Assessment conditions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must satisfy the Principles of Assessment and Rules of Evidence and all regulatory requirements included within the Standards for Registered Training Organisations current at the time of assessment.</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must occur in workplace operational situations where it is appropriate to do so; where this is not appropriate, assessment must occur in simulated workplace operational situations that replicate workplace conditions.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workplace, real loads, PPE</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online quiz option for busy shifts counts as a simulated workplace operational situation</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simulator/online assessment is not suitable for the final assessment of this unit of competency.</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workplace, real loads, PPE</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online quiz option for busy shifts counts as a simulated workplace operational situation</w:t>
            </w: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AC-4</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processes and techniques must be appropriate to the language, literacy and numeracy requirements of the work being performed and the needs of the candidate.</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LLN: contact Leanne Okafor</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AC-5</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Resources for assessment must include access to:</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AC1</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range of relevant exercises, case studies and/or simulations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AC2</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relevant and appropriate materials, tools, equipment and PPE currently used in industry</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real loads, PPE</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AC3</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applicable documentation, including legislation, regulations, codes of practice, workplace procedures and operation manuals.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SRL-CR-043, SRL-CR-042</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ACA</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Assessors must hold credentials specified within the Standards for Registered Training Organisations current at the time of assessment.</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Academy assessor</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spacing w:before="200" w:after="80"/>
      </w:pPr>
      <w:r>
        <w:rPr>
          <w:rFonts w:ascii="Aptos Display" w:cs="Aptos Display" w:eastAsia="Aptos Display" w:hAnsi="Aptos Display"/>
          <w:b/>
          <w:bCs/>
          <w:color w:val="4F7F80"/>
          <w:sz w:val="24"/>
          <w:szCs w:val="24"/>
        </w:rPr>
        <w:t xml:space="preserve">2.2 Mapping summary</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9484"/>
      </w:tblGrid>
      <w:tr>
        <w:trPr>
          <w:cantSplit/>
          <w:tblHeader/>
        </w:trPr>
        <w:tc>
          <w:tcPr>
            <w:tcW w:type="dxa" w:w="5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SRA-RTO-027 v0.9 DRAFT: TLID0020 requirement</w:t>
            </w:r>
          </w:p>
        </w:tc>
        <w:tc>
          <w:tcPr>
            <w:tcW w:type="dxa" w:w="94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Mapped to (SRA-RTO-021 v0.3)</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1 (PCs 1.1 to 1.12)</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 O1 to O6; SR1 to SR3</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2 (PCs 2.1 to 2.3)</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 O7; Q1</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PCs 3.1, 3.3, 3.4, 3.5</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 O8 to O11</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3.2 Team lifting tasks are coordinated</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1 oral explanation (Q8); SR4</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 to PE11</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2 (all items); PE3 and PE10 also Q8 and SR4; PE5 O9</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KE2a, KE2f</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Q3</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KE2b, KE2c, KE2g (distance, frequency, time allowed)</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Q4</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KE2d, KE2e</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Q2</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KE2h</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Q5</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KE3 site layout and obstacles; KE4 work layout</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Q6</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conditions</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workplace, real loads, PPE. The online quiz option for busy shifts counts as a simulated workplace operational situation. LLN: contact Leanne Okafor</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TLIF3003 Implement and monitor work health and safety procedures</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11284"/>
      </w:tblGrid>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 and release</w:t>
            </w:r>
          </w:p>
        </w:tc>
        <w:tc>
          <w:tcPr>
            <w:tcW w:type="dxa" w:w="112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TLIF3003 Implement and monitor work health and safety procedures, release 2 (22/11/2021), https://training.gov.au/Training/Details/TLIF3003</w:t>
            </w:r>
          </w:p>
        </w:tc>
      </w:tr>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Tool</w:t>
            </w:r>
          </w:p>
        </w:tc>
        <w:tc>
          <w:tcPr>
            <w:tcW w:type="dxa" w:w="112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SRA-RTO-022 TLIF3003 Assessment Tool v0.2 DRAFT (Craig Moretti)</w:t>
            </w:r>
          </w:p>
        </w:tc>
      </w:tr>
    </w:tbl>
    <w:p>
      <w:pPr>
        <w:keepNext/>
        <w:spacing w:before="200" w:after="80"/>
      </w:pPr>
      <w:r>
        <w:rPr>
          <w:rFonts w:ascii="Aptos Display" w:cs="Aptos Display" w:eastAsia="Aptos Display" w:hAnsi="Aptos Display"/>
          <w:b/>
          <w:bCs/>
          <w:color w:val="4F7F80"/>
          <w:sz w:val="24"/>
          <w:szCs w:val="24"/>
        </w:rPr>
        <w:t xml:space="preserve">3.1 Mapping (one row per requirement)</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5300"/>
        <w:gridCol w:w="2300"/>
        <w:gridCol w:w="3600"/>
        <w:gridCol w:w="2484"/>
      </w:tblGrid>
      <w:tr>
        <w:trPr>
          <w:cantSplit/>
          <w:tblHeader/>
        </w:trPr>
        <w:tc>
          <w:tcPr>
            <w:tcW w:type="dxa" w:w="1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Code</w:t>
            </w:r>
          </w:p>
        </w:tc>
        <w:tc>
          <w:tcPr>
            <w:tcW w:type="dxa" w:w="5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 requirement (training.gov.au text)</w:t>
            </w:r>
          </w:p>
        </w:tc>
        <w:tc>
          <w:tcPr>
            <w:tcW w:type="dxa" w:w="2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Tool task</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Instrument and item or question number</w:t>
            </w:r>
          </w:p>
        </w:tc>
        <w:tc>
          <w:tcPr>
            <w:tcW w:type="dxa" w:w="24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Notes</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Element 1: Access information about WHS/OHS and workplace policies and procedures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Relevant provisions of WHS/OHS legislation and codes of practice are accurately followed</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Stage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 Q2; Stage 2; SR1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Information on workplace WHS/OHS health and safety policies, procedures and programs is stored in a readily accessible location and manner</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Stage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 Q2; Stage 2; SR1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Information is accurately and clearly explained to work team</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Stage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 Q2; Stage 2; SR1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1.4</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Information about risk identification outcomes and control procedures is provided to appropriate personnel</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Stage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 Q2; Stage 2; SR1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Element 2: Implement and monitor procedures for identifying and assessing hazards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Existing and potential hazards in work area are identified and reported</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1; W3, W4</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Identified hazards are assessed in relation to relative risk</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1</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1; W3, W4</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Appropriate actions are initiated to minimise and control risks/hazards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1; W3, W4</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E3</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Element 3: Implement and monitor procedures for controlling risks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Incorporation of hierarchy of risk control measures within hazard register is checked</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Q3 (explains the hierarchy of controls)</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Existing risk control measures are implemented, monitored and reviewed</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 W5 to W8</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procedures to control risks are implemented and adherence to them by work group is monitored</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 W5 to W8</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3.4</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Required improvements to existing risk control measures are identified, including required resources for implementation, and reported to appropriate personnel</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4</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4 report (d)</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E4</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Element 4: Plan and supervise housekeeping arrangements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4.1</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Housekeeping tasks are identified and incorporated in enterprise work roles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 W5 to W7</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4.2</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Housekeeping equipment is maintained</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 W5 to W7</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4.3</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Team members are allocated housekeeping tasks and are supervised in performing allocated tasks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4</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4 report (a): how you would allocate and supervise</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4.4</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Housekeeping practices are planned to conform with environmental and WHS/OHS health and safety requirements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 W5 to W7</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E5</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Element 5: Implement and monitor procedures for dealing with hazardous events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Workplace procedures for dealing with hazardous events are implemented, as required, to ensure prompt control action is taken</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4 report (b) and (c)</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Hazardous events are investigated to identify causes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4</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4 report (b) and (c)</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Risk control measures are implemented to prevent recurrence and to minimise risks of hazardous events or issues, and are reported to appropriate personnel for implementation</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4 report (b) and (c)</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PE</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Performance evidence.</w:t>
            </w:r>
            <w:r>
              <w:rPr>
                <w:rFonts w:ascii="Aptos" w:cs="Aptos" w:eastAsia="Aptos" w:hAnsi="Aptos"/>
                <w:color w:val="1E2833"/>
                <w:sz w:val="20"/>
                <w:szCs w:val="20"/>
              </w:rPr>
              <w:t xml:space="preserve"> </w:t>
            </w:r>
            <w:r>
              <w:rPr>
                <w:rFonts w:ascii="Aptos" w:cs="Aptos" w:eastAsia="Aptos" w:hAnsi="Aptos"/>
                <w:i/>
                <w:iCs/>
                <w:color w:val="1E2833"/>
                <w:sz w:val="20"/>
                <w:szCs w:val="20"/>
              </w:rPr>
              <w:t xml:space="preserve">Evidence required to demonstrate competence in this unit must be relevant to and satisfy all of the requirements of the elements and performance criteria on at least one occasion and include:</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applying relevant legislation and workplace procedures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Stage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 Stage 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communicating and working effectively with others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2; W9</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completing relevant documentation</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1; W10</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PE4</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ensuring that precautions and required action are taken to minimise, control or eliminate identified hazards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W3 to W7</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PE5</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implementing contingency plans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4 report (c): what you would do if the alarm sounded</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Implementing contingency plans</w:t>
            </w: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PE6</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modifying activities depending on operational contingencies, risk situations and environments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4</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4 report (c): what you would do if the alarm sounded</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PE7</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monitoring and prioritising work activities in terms of planned schedule</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PE8</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operating electronic communications equipment to required protocol</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5</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 item 5</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Operating electronic communications equipment to required protocol</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PE9</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reading, interpreting and following relevant instructions, procedures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Stage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 Stage 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PE10</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reporting and/or rectifying identified problems, faults or malfunctions promptly in accordance with regulatory requirements and workplace procedures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1</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W4</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selecting and using required personal protective equipment (PPE) conforming to industry and work health and safety (WHS)/occupational health and safety (OHS) standards.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KE</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Knowledge evidence.</w:t>
            </w:r>
            <w:r>
              <w:rPr>
                <w:rFonts w:ascii="Aptos" w:cs="Aptos" w:eastAsia="Aptos" w:hAnsi="Aptos"/>
                <w:color w:val="1E2833"/>
                <w:sz w:val="20"/>
                <w:szCs w:val="20"/>
              </w:rPr>
              <w:t xml:space="preserve"> </w:t>
            </w:r>
            <w:r>
              <w:rPr>
                <w:rFonts w:ascii="Aptos" w:cs="Aptos" w:eastAsia="Aptos" w:hAnsi="Aptos"/>
                <w:i/>
                <w:iCs/>
                <w:color w:val="1E2833"/>
                <w:sz w:val="20"/>
                <w:szCs w:val="20"/>
              </w:rPr>
              <w:t xml:space="preserve">Evidence required to demonstrate competence in this unit must be relevant to and satisfy all of the requirements of the elements and performance criteria and include knowledge of:</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emergency and evacuation procedures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Q2</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HAZCHEM symbols and implications for safe work and storage</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Q4</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hierarchy of risk controls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KE4</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housekeeping standards and procedures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Q5</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KE5</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location and use of safety alarms, manifests, emergency shut-off systems and emergency communications systems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Q7</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KE6</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manual and mechanically operated lifting and load shifting procedures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"Covered by TLID0020, which learners complete first"</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KE7</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procedures for storing and using flammable materials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Q6</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KE8</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procedures for storing and using hazardous substances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Q6</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KE9</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relevant WHS/OHS procedures and guidelines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KE10</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reporting procedures for unsafe situations, fire hazards, broken or damaged equipment or fittings, sickness and accidents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Q8</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risks when using manually-operated equipment to shift loads and related precautions to control these risks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"Covered by TLID0020, which learners complete first"</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signs and signals for WHS/OHS warnings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Q8</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site layout and obstacles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W8</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KE14</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terms used in safety data sheets (SDS)/material safety data sheets (MSDS)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Q9</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KE15</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transport requirements for transporting goods within a workplace.</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FS</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Foundation skills.</w:t>
            </w:r>
            <w:r>
              <w:rPr>
                <w:rFonts w:ascii="Aptos" w:cs="Aptos" w:eastAsia="Aptos" w:hAnsi="Aptos"/>
                <w:color w:val="1E2833"/>
                <w:sz w:val="20"/>
                <w:szCs w:val="20"/>
              </w:rPr>
              <w:t xml:space="preserve"> Foundation skills essential to performance are explicit in the performance criteria of this unit of competency.</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stages</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Through the PCs</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AC</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Assessment conditions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AC-1</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must satisfy the Principles of Assessment and Rules of Evidence and all regulatory requirements included within the Standards for Registered Training Organisations current at the time of assessment.</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AC-2</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must occur in workplace operational situations where it is appropriate to do so; where this is not appropriate, assessment must occur in simulated workplace operational situations that replicate workplace conditions.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workplace project on own shift; written questions and report</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AC-3</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processes and techniques must be appropriate to the language, literacy and numeracy requirements of the work being performed and the needs of the candidate.</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workplace project on own shift; written questions and report</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AC-4</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Resources for assessment include access to:</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AC1</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range of relevant exercises, case studies and/or simulations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Workplace project</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AC2</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relevant and appropriate materials, tools, equipment and PPE currently used in industry</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AC3</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applicable documentation including workplace procedures, regulations, codes of practice and operation manuals.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procedures list</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ACA</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Assessors must hold credentials specified within the Standards for Registered Training Organisations current at the time of assessment.</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Academy assessor</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spacing w:before="200" w:after="80"/>
      </w:pPr>
      <w:r>
        <w:rPr>
          <w:rFonts w:ascii="Aptos Display" w:cs="Aptos Display" w:eastAsia="Aptos Display" w:hAnsi="Aptos Display"/>
          <w:b/>
          <w:bCs/>
          <w:color w:val="4F7F80"/>
          <w:sz w:val="24"/>
          <w:szCs w:val="24"/>
        </w:rPr>
        <w:t xml:space="preserve">3.2 Mapping summary</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9484"/>
      </w:tblGrid>
      <w:tr>
        <w:trPr>
          <w:cantSplit/>
          <w:tblHeader/>
        </w:trPr>
        <w:tc>
          <w:tcPr>
            <w:tcW w:type="dxa" w:w="5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SRA-RTO-027 v0.9 DRAFT: TLIF3003 requirement</w:t>
            </w:r>
          </w:p>
        </w:tc>
        <w:tc>
          <w:tcPr>
            <w:tcW w:type="dxa" w:w="94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Mapped to (SRA-RTO-022 v0.2)</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1 (PCs 1.1 to 1.4)</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 Q2; Stage 2; SR1</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PCs 2.1 to 2.3</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1; W3, W4</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3.1 Hierarchy of controls within the hazard register is checked</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Q3 (explains the hierarchy of controls)</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PCs 3.2, 3.3</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 W5 to W8</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3.4</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4 report (d)</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PCs 4.1, 4.2, 4.4</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 W5 to W7</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 4.3 Team members are allocated housekeeping tasks and supervised</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4 report (a): how you would allocate and supervise</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PCs 5.1 to 5.3</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4 report (b) and (c)</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 PE9</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 Stage 1</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PE2</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2; W9</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PE3</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1; W10</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PE4</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W3 to W7</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PE5 Implementing contingency plans; PE6</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4 report (c): what you would do if the alarm sounded</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PE7</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Stage 3</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PE8 Operating electronic communications equipment to required protocol</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 item 5</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PE10</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W4</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PE11</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W1</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 Q2; KE2 Q4; KE3 Q3; KE4 Q5; KE5 Q7; KE7, KE8 Q6; KE9 Q1; KE10, KE12 Q8; KE13 W8; KE14 Q9</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 listed</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KE6 lifting and load shifting procedures; KE11 risks of manually operated equipment</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"Covered by TLID0020, which learners complete first"</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KE15 Transport requirements for transporting goods within a workplace</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(blank)</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conditions</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workplace project on own shift; written questions and report</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TLIA0010 Identify goods and store to specifications</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11284"/>
      </w:tblGrid>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 and release</w:t>
            </w:r>
          </w:p>
        </w:tc>
        <w:tc>
          <w:tcPr>
            <w:tcW w:type="dxa" w:w="112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TLIA0010 Identify goods and store to specifications, release 1 (12/06/2020), https://training.gov.au/Training/Details/TLIA0010</w:t>
            </w:r>
          </w:p>
        </w:tc>
      </w:tr>
      <w:tr>
        <w:trPr>
          <w:cantSplit/>
        </w:trPr>
        <w:tc>
          <w:tcPr>
            <w:tcW w:type="dxa" w:w="34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Tool</w:t>
            </w:r>
          </w:p>
        </w:tc>
        <w:tc>
          <w:tcPr>
            <w:tcW w:type="dxa" w:w="112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SRA-RTO-023 TLIA0010 Assessment Tool v2.0 DRAFT (Leanne Okafor)</w:t>
            </w:r>
          </w:p>
        </w:tc>
      </w:tr>
    </w:tbl>
    <w:p>
      <w:pPr>
        <w:keepNext/>
        <w:spacing w:before="200" w:after="80"/>
      </w:pPr>
      <w:r>
        <w:rPr>
          <w:rFonts w:ascii="Aptos Display" w:cs="Aptos Display" w:eastAsia="Aptos Display" w:hAnsi="Aptos Display"/>
          <w:b/>
          <w:bCs/>
          <w:color w:val="4F7F80"/>
          <w:sz w:val="24"/>
          <w:szCs w:val="24"/>
        </w:rPr>
        <w:t xml:space="preserve">4.1 Mapping (one row per requirement)</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5300"/>
        <w:gridCol w:w="2300"/>
        <w:gridCol w:w="3600"/>
        <w:gridCol w:w="2484"/>
      </w:tblGrid>
      <w:tr>
        <w:trPr>
          <w:cantSplit/>
          <w:tblHeader/>
        </w:trPr>
        <w:tc>
          <w:tcPr>
            <w:tcW w:type="dxa" w:w="1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Code</w:t>
            </w:r>
          </w:p>
        </w:tc>
        <w:tc>
          <w:tcPr>
            <w:tcW w:type="dxa" w:w="5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 requirement (training.gov.au text)</w:t>
            </w:r>
          </w:p>
        </w:tc>
        <w:tc>
          <w:tcPr>
            <w:tcW w:type="dxa" w:w="2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Tool task</w:t>
            </w:r>
          </w:p>
        </w:tc>
        <w:tc>
          <w:tcPr>
            <w:tcW w:type="dxa" w:w="3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Instrument and item or question number</w:t>
            </w:r>
          </w:p>
        </w:tc>
        <w:tc>
          <w:tcPr>
            <w:tcW w:type="dxa" w:w="24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Notes</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Element 1: Identify and categorise goods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Goods are identified and categorised in accordance with specifications and workplace procedures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Equipment is selected and used safely according to workplace procedures and regulatory requirements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I2</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Element 2: Match goods to locations based on specified criteria</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Locations for goods are determined based on workplace procedures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Labels, goods systems and other information sources are used to assist in identifying goods, and handling and storage requirements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I4</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Element 3: Assist individuals to solve stock identification and location problems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3.1</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New stock items are identified and communicated with relevant personnel</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3 and 4</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I5; SR3</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3.2</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Stock queries are predicted and team members are assisted to locate stock information relevant to these goods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3 and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I6; SR3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3.3</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Personnel are assisted with routine and non-routine stock enquiries and actions are taken to update goods information</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3 and 4</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I6; SR3</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3.4</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Personnel are encouraged to build knowledge of items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3 and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I6; SR3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E4</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Element 4: Identify appropriate transfer and handling requirements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Resources used to transfer different goods through storage zones are identified and evaluated</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3 and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I7; SR2</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in receival and despatch areas is supported by identifying and reporting variances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3 and 4</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I8; SR2</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Relevant documentation is completed in accordance with workplace procedures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3 and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I9; SR2</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E5</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Element 5: Contribute to continuous improvement</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Customer requirements are used to determine work design</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3 and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I10; SR4</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Problems are identified, control measures determined and notified to appropriate personnel</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3 and 4</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I11; SR4</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Improvements to work methods are identified and notified to appropriate personnel</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3 and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I12; SR4</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PE</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Performance evidence.</w:t>
            </w:r>
            <w:r>
              <w:rPr>
                <w:rFonts w:ascii="Aptos" w:cs="Aptos" w:eastAsia="Aptos" w:hAnsi="Aptos"/>
                <w:color w:val="1E2833"/>
                <w:sz w:val="20"/>
                <w:szCs w:val="20"/>
              </w:rPr>
              <w:t xml:space="preserve"> </w:t>
            </w:r>
            <w:r>
              <w:rPr>
                <w:rFonts w:ascii="Aptos" w:cs="Aptos" w:eastAsia="Aptos" w:hAnsi="Aptos"/>
                <w:i/>
                <w:iCs/>
                <w:color w:val="1E2833"/>
                <w:sz w:val="20"/>
                <w:szCs w:val="20"/>
              </w:rPr>
              <w:t xml:space="preserve">Evidence required to demonstrate competence in this unit must be relevant to and satisfy all of the requirements of the elements and performance criteria on at least one occasion and include:</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accessing, reading and interpreting relevant goods information, policies and regulatory requirements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 I4</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PE2</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applying relevant work health and safety (WHS)/occupational health and safety (OHS) requirements, legislation and workplace procedures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I2, I13</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PE3</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communicating and working with relevant persons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Parts 3 and 4</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I6; SR3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PE4</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modifying activities depending on operational contingencies, risk situations and environments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PE5</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operating and adapting to differences in goods and services in accordance with operating procedures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PE6</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reporting and rectifying identified problems, faults or malfunctions promptly, in accordance with regulatory requirements and workplace procedures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I8, I11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PE7</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selecting and using relevant systems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I2, I3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PE8</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using inventory information to determine, plan and organise processes used for receival, storage, goods movement, despatch, stock levels and re-ordering processes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I10</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I10 only</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PE9</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working systematically with required attention to detail without injury to self or others, or damage to goods or equipment.</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3</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KE</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Knowledge evidence.</w:t>
            </w:r>
            <w:r>
              <w:rPr>
                <w:rFonts w:ascii="Aptos" w:cs="Aptos" w:eastAsia="Aptos" w:hAnsi="Aptos"/>
                <w:color w:val="1E2833"/>
                <w:sz w:val="20"/>
                <w:szCs w:val="20"/>
              </w:rPr>
              <w:t xml:space="preserve"> </w:t>
            </w:r>
            <w:r>
              <w:rPr>
                <w:rFonts w:ascii="Aptos" w:cs="Aptos" w:eastAsia="Aptos" w:hAnsi="Aptos"/>
                <w:i/>
                <w:iCs/>
                <w:color w:val="1E2833"/>
                <w:sz w:val="20"/>
                <w:szCs w:val="20"/>
              </w:rPr>
              <w:t xml:space="preserve">Evidence required to demonstrate competence in this unit must be relevant to and satisfy all of the requirements of the elements and performance criteria and include knowledge of:</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categories or groups of goods including:</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KE1a</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key characteristics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KE1b</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hazard potential</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KE1c</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special handling, stacking and storage requirements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codes of practice and regulations relevant to workplace activities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Q2</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KE3</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documentation requirements including reports and records concerning damaged or contaminated goods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Q3</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KE4</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goods sources, destinations and potential problems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Q4</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KE5</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housekeeping standards and procedures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Q5</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KE6</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operational work systems, equipment, management and site operating systems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Q6</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KE7</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re-ordering procedures and just-in-time planning principles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Q6</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Re-ordering procedures and just-in-time planning</w:t>
            </w: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KE8</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requirements for workplace documentation, inventory systems and records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Q3</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KE9</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site layout and obstacles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Q5</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KE10</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sources of goods information including:</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Q2, Q6</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KE10a</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policies and procedures</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Q2</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KE10b</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product knowledge</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Q6</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KE11</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types of equipment and storage areas appropriate for different types of goods including:</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KE11a</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dangerous goods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KE11b</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fragile</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KE11c</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hazardous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KE11d</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perishable</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KE11e</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sensitive items.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FS</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Foundation skills.</w:t>
            </w:r>
            <w:r>
              <w:rPr>
                <w:rFonts w:ascii="Aptos" w:cs="Aptos" w:eastAsia="Aptos" w:hAnsi="Aptos"/>
                <w:color w:val="1E2833"/>
                <w:sz w:val="20"/>
                <w:szCs w:val="20"/>
              </w:rPr>
              <w:t xml:space="preserve"> Foundation skills essential to performance are explicit in the performance criteria of this unit of competency.</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All parts</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Through the PCs</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AC</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Assessment conditions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AC-1</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must satisfy the Principles of Assessment and Rules of Evidence and all regulatory requirements included within the Standards for Registered Training Organisations current at the time of assessment.</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Part 5</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AC-2</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must occur in workplace operational situations where it is appropriate to do so; where this is not appropriate, assessment must occur in simulated workplace operational situations that replicate workplace conditions.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workplace, full shift, real goods, systems and documents, PPE</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AC-3</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processes and techniques must be appropriate to the language, literacy and numeracy requirements of the work being performed and the needs of the candidate.</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Part 6</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Oral and picture-supported versions</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AC-4</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Resources for assessment must include:</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AC1</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relevant and appropriate materials, tools, equipment and personal protective equipment (PPE) currently used in industry</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Real goods, equipment and PPE in inbound staging and racking rows 1 to 10</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AC2</w:t>
            </w:r>
          </w:p>
        </w:tc>
        <w:tc>
          <w:tcPr>
            <w:tcW w:type="dxa" w:w="5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applicable documentation including legislation, regulations, codes of practice, workplace procedures and operation manuals.</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SteelRiver procedures and the warehouse system</w:t>
            </w:r>
          </w:p>
        </w:tc>
        <w:tc>
          <w:tcPr>
            <w:tcW w:type="dxa" w:w="2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Pr>
        <w:tc>
          <w:tcPr>
            <w:tcW w:type="dxa" w:w="1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ACA</w:t>
            </w:r>
          </w:p>
        </w:tc>
        <w:tc>
          <w:tcPr>
            <w:tcW w:type="dxa" w:w="5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Assessors must hold credentials specified within the Standards for Registered Training Organisations current at the time of assessment.</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w:t>
            </w:r>
          </w:p>
        </w:tc>
        <w:tc>
          <w:tcPr>
            <w:tcW w:type="dxa" w:w="3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Academy assessor</w:t>
            </w:r>
          </w:p>
        </w:tc>
        <w:tc>
          <w:tcPr>
            <w:tcW w:type="dxa" w:w="2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p>
        </w:tc>
      </w:tr>
    </w:tbl>
    <w:p>
      <w:pPr>
        <w:keepNext/>
        <w:spacing w:before="200" w:after="80"/>
      </w:pPr>
      <w:r>
        <w:rPr>
          <w:rFonts w:ascii="Aptos Display" w:cs="Aptos Display" w:eastAsia="Aptos Display" w:hAnsi="Aptos Display"/>
          <w:b/>
          <w:bCs/>
          <w:color w:val="4F7F80"/>
          <w:sz w:val="24"/>
          <w:szCs w:val="24"/>
        </w:rPr>
        <w:t xml:space="preserve">4.2 Mapping summary</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0"/>
        <w:gridCol w:w="9484"/>
      </w:tblGrid>
      <w:tr>
        <w:trPr>
          <w:cantSplit/>
          <w:tblHeader/>
        </w:trPr>
        <w:tc>
          <w:tcPr>
            <w:tcW w:type="dxa" w:w="5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SRA-RTO-027 v0.9 DRAFT: TLIA0010 requirement</w:t>
            </w:r>
          </w:p>
        </w:tc>
        <w:tc>
          <w:tcPr>
            <w:tcW w:type="dxa" w:w="94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Mapped to (SRA-RTO-023 v2.0 DRAFT)</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1 (PCs 1.1, 1.2)</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 I2</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2 (PCs 2.1, 2.2)</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I3, I4</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3 (PCs 3.1 to 3.4)</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I5, I6; SR3</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4 (PCs 4.1 to 4.3)</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I7, I8, I9; SR2</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Element 5 (PCs 5.1 to 5.3)</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I10, I11, I12; SR4</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PE1 to PE9</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I1 to I13; PE3 also SR3; PE8 I10 only</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KE1 and KE11 categories, storage and equipment</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KE2 codes and regulations; KE10a policies and procedures</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Q2</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KE3 damaged goods documentation; KE8 documentation and records</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Q3</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KE4 sources, destinations, problems</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Q4</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KE5 housekeeping; KE9 site layout</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Q5</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KE6 systems; KE10b product knowledge</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Q6</w:t>
            </w:r>
          </w:p>
        </w:tc>
      </w:tr>
      <w:tr>
        <w:trPr>
          <w:cantSplit/>
        </w:trPr>
        <w:tc>
          <w:tcPr>
            <w:tcW w:type="dxa" w:w="5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KE7 re-ordering procedures and just-in-time planning</w:t>
            </w:r>
          </w:p>
        </w:tc>
        <w:tc>
          <w:tcPr>
            <w:tcW w:type="dxa" w:w="94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Q6</w:t>
            </w:r>
          </w:p>
        </w:tc>
      </w:tr>
      <w:tr>
        <w:trPr>
          <w:cantSplit/>
        </w:trPr>
        <w:tc>
          <w:tcPr>
            <w:tcW w:type="dxa" w:w="5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Assessment conditions</w:t>
            </w:r>
          </w:p>
        </w:tc>
        <w:tc>
          <w:tcPr>
            <w:tcW w:type="dxa" w:w="94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workplace, full shift, real goods, systems and documents, PPE; oral and picture-supported versions</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Prepared and checked</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600"/>
        <w:gridCol w:w="6400"/>
        <w:gridCol w:w="3684"/>
      </w:tblGrid>
      <w:tr>
        <w:trPr>
          <w:cantSplit/>
          <w:tblHeader/>
        </w:trPr>
        <w:tc>
          <w:tcPr>
            <w:tcW w:type="dxa" w:w="4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Name</w:t>
            </w:r>
          </w:p>
        </w:tc>
        <w:tc>
          <w:tcPr>
            <w:tcW w:type="dxa" w:w="36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r>
      <w:tr>
        <w:trPr>
          <w:cantSplit/>
        </w:trPr>
        <w:tc>
          <w:tcPr>
            <w:tcW w:type="dxa" w:w="4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Mappings prepared (from the developers' drafts)</w:t>
            </w:r>
          </w:p>
        </w:tc>
        <w:tc>
          <w:tcPr>
            <w:tcW w:type="dxa" w:w="6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 with Craig Moretti (TLID0020, TLIF3003) and Leanne Okafor (TLIA0010)</w:t>
            </w:r>
          </w:p>
        </w:tc>
        <w:tc>
          <w:tcPr>
            <w:tcW w:type="dxa" w:w="36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February 2026</w:t>
            </w:r>
          </w:p>
        </w:tc>
      </w:tr>
      <w:tr>
        <w:trPr>
          <w:cantSplit/>
        </w:trPr>
        <w:tc>
          <w:tcPr>
            <w:tcW w:type="dxa" w:w="4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Checked by the pre-use review panel</w:t>
            </w:r>
          </w:p>
        </w:tc>
        <w:tc>
          <w:tcPr>
            <w:tcW w:type="dxa" w:w="6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To be completed at the review</w:t>
            </w:r>
          </w:p>
        </w:tc>
        <w:tc>
          <w:tcPr>
            <w:tcW w:type="dxa" w:w="36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Wednesday 25 February 2026</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 DRAFT</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February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Draft mappings for the three new or revised tools, for the pre-use review pack.</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sectPr>
      <w:headerReference w:type="default" r:id="rId6"/>
      <w:headerReference w:type="first" r:id="rId7"/>
      <w:footerReference w:type="default" r:id="rId8"/>
      <w:footerReference w:type="first" r:id="rId9"/>
      <w:pgSz w:w="16838" w:h="11906" w:orient="landscape"/>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14684"/>
      </w:tabs>
    </w:pPr>
    <w:r>
      <w:rPr>
        <w:rFonts w:ascii="Aptos" w:cs="Aptos" w:eastAsia="Aptos" w:hAnsi="Aptos"/>
        <w:color w:val="5F6B77"/>
        <w:sz w:val="14"/>
        <w:szCs w:val="14"/>
      </w:rPr>
      <w:t xml:space="preserve">SteelRiver Academy, RTO 99999 (simulated)  ·  SRA-RTO-027 Version 0.9 DRAFT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14684"/>
      </w:tabs>
    </w:pPr>
    <w:r>
      <w:rPr>
        <w:rFonts w:ascii="Aptos" w:cs="Aptos" w:eastAsia="Aptos" w:hAnsi="Aptos"/>
        <w:color w:val="5F6B77"/>
        <w:sz w:val="14"/>
        <w:szCs w:val="14"/>
      </w:rPr>
      <w:t xml:space="preserve">SteelRiver Academy, RTO 99999 (simulated)  ·  SRA-RTO-027 Version 0.9 DRAFT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14684"/>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SRA-RTO-027  ·  Assessment Mapping Pack: TLID0020, TLIF3003, TLIA0010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SRA-RTO-027 Assessment Mapping Pack: TLID0020, TLIF3003, TLIA0010</dc:title>
  <dc:creator>SteelRiver Logistics Pty Ltd trading as SteelRiver Academy</dc:creator>
  <cp:lastModifiedBy>Un-named</cp:lastModifiedBy>
  <cp:revision>1</cp:revision>
  <dcterms:created xsi:type="dcterms:W3CDTF">2026-11-01T14:49:47.818Z</dcterms:created>
  <dcterms:modified xsi:type="dcterms:W3CDTF">2026-11-01T14:49:47.818Z</dcterms:modified>
</cp:coreProperties>
</file>

<file path=docProps/custom.xml><?xml version="1.0" encoding="utf-8"?>
<Properties xmlns="http://schemas.openxmlformats.org/officeDocument/2006/custom-properties" xmlns:vt="http://schemas.openxmlformats.org/officeDocument/2006/docPropsVTypes"/>
</file>