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84"/>
        <w:gridCol w:w="3600"/>
      </w:tblGrid>
      <w:tr>
        <w:tc>
          <w:tcPr>
            <w:tcW w:type="dxa" w:w="11084"/>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REGISTER</w:t>
            </w:r>
          </w:p>
          <w:p>
            <w:pPr>
              <w:spacing w:after="0"/>
              <w:jc w:val="right"/>
            </w:pPr>
            <w:r>
              <w:rPr>
                <w:rFonts w:ascii="Aptos Display" w:cs="Aptos Display" w:eastAsia="Aptos Display" w:hAnsi="Aptos Display"/>
                <w:b/>
                <w:bCs/>
                <w:color w:val="0E4D4F"/>
                <w:sz w:val="36"/>
                <w:szCs w:val="36"/>
              </w:rPr>
              <w:t xml:space="preserve">SRA-RTO-041</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Trainer and Assessor Credentials Matrix</w:t>
      </w:r>
    </w:p>
    <w:p>
      <w:pPr>
        <w:spacing w:before="0" w:after="160" w:line="276"/>
      </w:pPr>
      <w:r>
        <w:rPr>
          <w:rFonts w:ascii="Aptos" w:cs="Aptos" w:eastAsia="Aptos" w:hAnsi="Aptos"/>
          <w:color w:val="4F7F80"/>
          <w:sz w:val="24"/>
          <w:szCs w:val="24"/>
        </w:rPr>
        <w:t xml:space="preserve">Credentials, vocational competency, industry currency and direction status of Academy trainers, assessors, validators and managers, at Monday 2 February 2026</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71"/>
        <w:gridCol w:w="3671"/>
        <w:gridCol w:w="3671"/>
        <w:gridCol w:w="3671"/>
      </w:tblGrid>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SRA-RTO-041</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At Monday 2 February 2026</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On any change of staff or evidence, and before each Quality Committee meeting</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trainers and assessors, people working under direction, validators and the Academy Manager</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w:t>
      </w:r>
    </w:p>
    <w:p>
      <w:pPr>
        <w:spacing w:before="0" w:after="120" w:line="276"/>
      </w:pPr>
      <w:r>
        <w:rPr>
          <w:rFonts w:ascii="Aptos" w:cs="Aptos" w:eastAsia="Aptos" w:hAnsi="Aptos"/>
          <w:color w:val="1E2833"/>
          <w:sz w:val="20"/>
          <w:szCs w:val="20"/>
        </w:rPr>
        <w:t xml:space="preserve">This matrix is the Academy's record that every person who trains, assesses or validates for SteelRiver Academy holds the right training and assessment credential under the Credential Policy, vocational competency in the TLI30325 units they deliver and assess, and current industry skills (Standards 3.2 and 3.3). It also records who works under direction, who gives direction, and any gap with the action to close it. Part 1 is by person, Part 2 by unit.</w:t>
      </w:r>
    </w:p>
    <w:tbl>
      <w:tblPr>
        <w:tblW w:type="dxa" w:w="14684"/>
        <w:tblBorders>
          <w:top w:val="single" w:color="auto" w:sz="4"/>
          <w:left w:val="single" w:color="auto" w:sz="4"/>
          <w:bottom w:val="single" w:color="auto" w:sz="4"/>
          <w:right w:val="single" w:color="auto" w:sz="4"/>
          <w:insideH w:val="single" w:color="auto" w:sz="4"/>
          <w:insideV w:val="single" w:color="auto" w:sz="4"/>
        </w:tblBorders>
      </w:tblPr>
      <w:tblGrid>
        <w:gridCol w:w="14684"/>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Credential Policy sections used in this matrix (DEWR Credential Policy, 10 December 2025)</w:t>
            </w:r>
          </w:p>
          <w:p>
            <w:pPr>
              <w:pStyle w:val="ListParagraph"/>
              <w:numPr>
                <w:ilvl w:val="0"/>
                <w:numId w:val="2"/>
              </w:numPr>
              <w:spacing w:after="60" w:line="264"/>
            </w:pPr>
            <w:r>
              <w:rPr>
                <w:rFonts w:ascii="Aptos" w:cs="Aptos" w:eastAsia="Aptos" w:hAnsi="Aptos"/>
                <w:b/>
                <w:bCs/>
                <w:color w:val="1E2833"/>
                <w:sz w:val="20"/>
                <w:szCs w:val="20"/>
              </w:rPr>
              <w:t xml:space="preserve">1A</w:t>
            </w:r>
            <w:r>
              <w:rPr>
                <w:rFonts w:ascii="Aptos" w:cs="Aptos" w:eastAsia="Aptos" w:hAnsi="Aptos"/>
                <w:color w:val="1E2833"/>
                <w:sz w:val="20"/>
                <w:szCs w:val="20"/>
              </w:rPr>
              <w:t xml:space="preserve">: credentials that allow a person to train and assess without direction (TAE40122, TAE40116, TAE40110, or a diploma or higher qualification in adult education or VET).</w:t>
            </w:r>
          </w:p>
          <w:p>
            <w:pPr>
              <w:pStyle w:val="ListParagraph"/>
              <w:numPr>
                <w:ilvl w:val="0"/>
                <w:numId w:val="2"/>
              </w:numPr>
              <w:spacing w:after="60" w:line="264"/>
            </w:pPr>
            <w:r>
              <w:rPr>
                <w:rFonts w:ascii="Aptos" w:cs="Aptos" w:eastAsia="Aptos" w:hAnsi="Aptos"/>
                <w:b/>
                <w:bCs/>
                <w:color w:val="1E2833"/>
                <w:sz w:val="20"/>
                <w:szCs w:val="20"/>
              </w:rPr>
              <w:t xml:space="preserve">1C</w:t>
            </w:r>
            <w:r>
              <w:rPr>
                <w:rFonts w:ascii="Aptos" w:cs="Aptos" w:eastAsia="Aptos" w:hAnsi="Aptos"/>
                <w:color w:val="1E2833"/>
                <w:sz w:val="20"/>
                <w:szCs w:val="20"/>
              </w:rPr>
              <w:t xml:space="preserve">: a person actively working towards TAE40122 or TAE50122 (enrolled, commenced and on track to finish within two years) may train and assess under direction.</w:t>
            </w:r>
          </w:p>
          <w:p>
            <w:pPr>
              <w:pStyle w:val="ListParagraph"/>
              <w:numPr>
                <w:ilvl w:val="0"/>
                <w:numId w:val="2"/>
              </w:numPr>
              <w:spacing w:after="60" w:line="264"/>
            </w:pPr>
            <w:r>
              <w:rPr>
                <w:rFonts w:ascii="Aptos" w:cs="Aptos" w:eastAsia="Aptos" w:hAnsi="Aptos"/>
                <w:b/>
                <w:bCs/>
                <w:color w:val="1E2833"/>
                <w:sz w:val="20"/>
                <w:szCs w:val="20"/>
              </w:rPr>
              <w:t xml:space="preserve">1D</w:t>
            </w:r>
            <w:r>
              <w:rPr>
                <w:rFonts w:ascii="Aptos" w:cs="Aptos" w:eastAsia="Aptos" w:hAnsi="Aptos"/>
                <w:color w:val="1E2833"/>
                <w:sz w:val="20"/>
                <w:szCs w:val="20"/>
              </w:rPr>
              <w:t xml:space="preserve">: approved skill sets (for example TAESS00015 Enterprise Trainer and Assessor Skill Set) that allow a person to train and assess under direction.</w:t>
            </w:r>
          </w:p>
          <w:p>
            <w:pPr>
              <w:pStyle w:val="ListParagraph"/>
              <w:numPr>
                <w:ilvl w:val="0"/>
                <w:numId w:val="2"/>
              </w:numPr>
              <w:spacing w:after="60" w:line="264"/>
            </w:pPr>
            <w:r>
              <w:rPr>
                <w:rFonts w:ascii="Aptos" w:cs="Aptos" w:eastAsia="Aptos" w:hAnsi="Aptos"/>
                <w:b/>
                <w:bCs/>
                <w:color w:val="1E2833"/>
                <w:sz w:val="20"/>
                <w:szCs w:val="20"/>
              </w:rPr>
              <w:t xml:space="preserve">1E</w:t>
            </w:r>
            <w:r>
              <w:rPr>
                <w:rFonts w:ascii="Aptos" w:cs="Aptos" w:eastAsia="Aptos" w:hAnsi="Aptos"/>
                <w:color w:val="1E2833"/>
                <w:sz w:val="20"/>
                <w:szCs w:val="20"/>
              </w:rPr>
              <w:t xml:space="preserve">: who may give direction (a person holding a Certificate IV credential listed in 1A, or a diploma).</w:t>
            </w:r>
          </w:p>
          <w:p>
            <w:pPr>
              <w:pStyle w:val="ListParagraph"/>
              <w:numPr>
                <w:ilvl w:val="0"/>
                <w:numId w:val="2"/>
              </w:numPr>
              <w:spacing w:after="60" w:line="264"/>
            </w:pPr>
            <w:r>
              <w:rPr>
                <w:rFonts w:ascii="Aptos" w:cs="Aptos" w:eastAsia="Aptos" w:hAnsi="Aptos"/>
                <w:b/>
                <w:bCs/>
                <w:color w:val="1E2833"/>
                <w:sz w:val="20"/>
                <w:szCs w:val="20"/>
              </w:rPr>
              <w:t xml:space="preserve">3A</w:t>
            </w:r>
            <w:r>
              <w:rPr>
                <w:rFonts w:ascii="Aptos" w:cs="Aptos" w:eastAsia="Aptos" w:hAnsi="Aptos"/>
                <w:color w:val="1E2833"/>
                <w:sz w:val="20"/>
                <w:szCs w:val="20"/>
              </w:rPr>
              <w:t xml:space="preserve">: at least one person on a validation panel holds one of the listed validation credentials.</w:t>
            </w:r>
          </w:p>
          <w:p>
            <w:pPr>
              <w:spacing w:before="0" w:after="60" w:line="276"/>
            </w:pPr>
            <w:r>
              <w:rPr>
                <w:rFonts w:ascii="Aptos" w:cs="Aptos" w:eastAsia="Aptos" w:hAnsi="Aptos"/>
                <w:color w:val="1E2833"/>
                <w:sz w:val="20"/>
                <w:szCs w:val="20"/>
              </w:rPr>
              <w:t xml:space="preserve">Vocational competency (Standard 3.3(2)(a)(i)) and current industry skills (Standard 3.3(2)(a)(ii)) are tested separately from the credential. A person must meet all three for a unit before they assess it without direction (SRA-RTO-003 section 3).</w:t>
            </w:r>
          </w:p>
        </w:tc>
      </w:tr>
    </w:tbl>
    <w:p>
      <w:pPr>
        <w:spacing w:after="16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Part 1: credentials and status by person (at 2 February 2026)</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2000"/>
        <w:gridCol w:w="1250"/>
        <w:gridCol w:w="1750"/>
        <w:gridCol w:w="2150"/>
        <w:gridCol w:w="2000"/>
        <w:gridCol w:w="1900"/>
        <w:gridCol w:w="1834"/>
      </w:tblGrid>
      <w:tr>
        <w:trPr>
          <w:cantSplit/>
          <w:tblHeader/>
        </w:trPr>
        <w:tc>
          <w:tcPr>
            <w:tcW w:type="dxa" w:w="1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 and position</w:t>
            </w:r>
          </w:p>
        </w:tc>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Training and assessment credential</w:t>
            </w:r>
          </w:p>
        </w:tc>
        <w:tc>
          <w:tcPr>
            <w:tcW w:type="dxa" w:w="12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Credential Policy section met</w:t>
            </w:r>
          </w:p>
        </w:tc>
        <w:tc>
          <w:tcPr>
            <w:tcW w:type="dxa" w:w="17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Vocational competency (TLI30325 units)</w:t>
            </w:r>
          </w:p>
        </w:tc>
        <w:tc>
          <w:tcPr>
            <w:tcW w:type="dxa" w:w="21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Industry currency evidence</w:t>
            </w:r>
          </w:p>
        </w:tc>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PD (VET + industry hours, SRA-RTO-043)</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Status</w:t>
            </w:r>
          </w:p>
        </w:tc>
        <w:tc>
          <w:tcPr>
            <w:tcW w:type="dxa" w:w="183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Gaps recorded and actions</w:t>
            </w:r>
          </w:p>
        </w:tc>
      </w:tr>
      <w:tr>
        <w:trPr>
          <w:cantSpli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 Academy Manager</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Certificate IV in Training and Assessment (2023); TAE50122 Diploma of Vocational Education and Training (2024)</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Credential listed in 1A (not used: manager only)</w:t>
            </w:r>
          </w:p>
        </w:tc>
        <w:tc>
          <w:tcPr>
            <w:tcW w:type="dxa" w:w="17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vocationally competent in TLI units</w:t>
            </w:r>
          </w:p>
        </w:tc>
        <w:tc>
          <w:tcPr>
            <w:tcW w:type="dxa" w:w="21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applicable (does not deliver)</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TAC Registration Standards 2025 transition sessions (late 2025)</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Manager only. Does not train, assess or validate TLI30325 units</w:t>
            </w:r>
          </w:p>
        </w:tc>
        <w:tc>
          <w:tcPr>
            <w:tcW w:type="dxa" w:w="183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r>
      <w:tr>
        <w:trPr>
          <w:cantSplit/>
        </w:trPr>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 Quality and Compliance Coordinator</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(2022)</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1A, 1E and 3A</w:t>
            </w:r>
          </w:p>
        </w:tc>
        <w:tc>
          <w:tcPr>
            <w:tcW w:type="dxa" w:w="17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TLI30321 (2022, RPL)</w:t>
            </w:r>
          </w:p>
        </w:tc>
        <w:tc>
          <w:tcPr>
            <w:tcW w:type="dxa" w:w="21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days a quarter on the warehouse floor (8 floor days in 2025)</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Validation practice workshop; AVETMISS reporting update; TAC transition sessions. 2025: 17 + 64 = 81 hours</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Trains and assesses without direction; leads validation</w:t>
            </w:r>
          </w:p>
        </w:tc>
        <w:tc>
          <w:tcPr>
            <w:tcW w:type="dxa" w:w="183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recorded</w:t>
            </w:r>
          </w:p>
        </w:tc>
      </w:tr>
      <w:tr>
        <w:trPr>
          <w:cantSpli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 Lead Trainer and Assessor</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(2023)</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1A and 1E</w:t>
            </w:r>
          </w:p>
        </w:tc>
        <w:tc>
          <w:tcPr>
            <w:tcW w:type="dxa" w:w="17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TLI30321 (2022); all units in the Academy package</w:t>
            </w:r>
          </w:p>
        </w:tc>
        <w:tc>
          <w:tcPr>
            <w:tcW w:type="dxa" w:w="21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 years at the Perth DC (2011 to 2021); 1 week a year on shift (latest November 2025, afternoon shift)</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Mentoring practice workshop; digital delivery short course. 2025: 19 + 40 = 59 hours</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Without direction, all units. </w:t>
            </w:r>
            <w:r>
              <w:rPr>
                <w:rFonts w:ascii="Aptos" w:cs="Aptos" w:eastAsia="Aptos" w:hAnsi="Aptos"/>
                <w:b/>
                <w:bCs/>
                <w:color w:val="1E2833"/>
                <w:sz w:val="20"/>
                <w:szCs w:val="20"/>
              </w:rPr>
              <w:t xml:space="preserve">Gives direction</w:t>
            </w:r>
            <w:r>
              <w:rPr>
                <w:rFonts w:ascii="Aptos" w:cs="Aptos" w:eastAsia="Aptos" w:hAnsi="Aptos"/>
                <w:color w:val="1E2833"/>
                <w:sz w:val="20"/>
                <w:szCs w:val="20"/>
              </w:rPr>
              <w:t xml:space="preserve"> to the TA-03 and makes and signs the judgements on evidence the TA-03 collects</w:t>
            </w:r>
          </w:p>
        </w:tc>
        <w:tc>
          <w:tcPr>
            <w:tcW w:type="dxa" w:w="183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recorded</w:t>
            </w:r>
          </w:p>
        </w:tc>
      </w:tr>
      <w:tr>
        <w:trPr>
          <w:cantSplit/>
        </w:trPr>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Leanne Okafor, Trainer and Assessor (LLN lead)</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TAE40116 (2018). Also holds TAELLN411 (2018) and TAEASS502 (2019), no longer required</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1A on its own; 1E</w:t>
            </w:r>
          </w:p>
        </w:tc>
        <w:tc>
          <w:tcPr>
            <w:tcW w:type="dxa" w:w="17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TLI31616 Certificate III in Warehousing Operations (2017; superseded)</w:t>
            </w:r>
          </w:p>
        </w:tc>
        <w:tc>
          <w:tcPr>
            <w:tcW w:type="dxa" w:w="21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years in a Perth DC to 2019; Academy floor time 4 days in 2024, none in 2025. </w:t>
            </w:r>
            <w:r>
              <w:rPr>
                <w:rFonts w:ascii="Aptos" w:cs="Aptos" w:eastAsia="Aptos" w:hAnsi="Aptos"/>
                <w:b/>
                <w:bCs/>
                <w:color w:val="1E2833"/>
                <w:sz w:val="20"/>
                <w:szCs w:val="20"/>
              </w:rPr>
              <w:t xml:space="preserve">No current experience of the Perth DC receiving and stock location processes</w:t>
            </w:r>
            <w:r>
              <w:rPr>
                <w:rFonts w:ascii="Aptos" w:cs="Aptos" w:eastAsia="Aptos" w:hAnsi="Aptos"/>
                <w:color w:val="1E2833"/>
                <w:sz w:val="20"/>
                <w:szCs w:val="20"/>
              </w:rPr>
              <w:t xml:space="preserve"> (locations renumbered June 2025)</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LLN practice webinar series; TAC information session; trauma-informed training (2024). 2025: 11 + 0 = 11 hours (below the Academy minimum of 20)</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Credential meets 1A: trains and assesses without direction</w:t>
            </w:r>
          </w:p>
        </w:tc>
        <w:tc>
          <w:tcPr>
            <w:tcW w:type="dxa" w:w="183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Gap, Standard 3.3(2)(a)(ii):</w:t>
            </w:r>
            <w:r>
              <w:rPr>
                <w:rFonts w:ascii="Aptos" w:cs="Aptos" w:eastAsia="Aptos" w:hAnsi="Aptos"/>
                <w:color w:val="1E2833"/>
                <w:sz w:val="20"/>
                <w:szCs w:val="20"/>
              </w:rPr>
              <w:t xml:space="preserve"> current Perth DC receiving and stock location practice for TLIA0010 and TLIA0015 (reviewed with Gemma Whitfield, December 2025). </w:t>
            </w:r>
            <w:r>
              <w:rPr>
                <w:rFonts w:ascii="Aptos" w:cs="Aptos" w:eastAsia="Aptos" w:hAnsi="Aptos"/>
                <w:b/>
                <w:bCs/>
                <w:color w:val="1E2833"/>
                <w:sz w:val="20"/>
                <w:szCs w:val="20"/>
              </w:rPr>
              <w:t xml:space="preserve">Check, Standard 3.3(2)(a)(i):</w:t>
            </w:r>
            <w:r>
              <w:rPr>
                <w:rFonts w:ascii="Aptos" w:cs="Aptos" w:eastAsia="Aptos" w:hAnsi="Aptos"/>
                <w:color w:val="1E2833"/>
                <w:sz w:val="20"/>
                <w:szCs w:val="20"/>
              </w:rPr>
              <w:t xml:space="preserve"> superseded TLI31616 units to be compared with the TLI30325 units she delivers. PD hours below 20 in 2025. Actions to be set in her 2026 PD plan</w:t>
            </w:r>
          </w:p>
        </w:tc>
      </w:tr>
      <w:tr>
        <w:trPr>
          <w:cantSpli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TA-03, Trainer and Assessor (from Monday 5 January 2026)</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Enrolled in and actively working towards TAE40122 (commenced January 2026)</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1C</w:t>
            </w:r>
          </w:p>
        </w:tc>
        <w:tc>
          <w:tcPr>
            <w:tcW w:type="dxa" w:w="17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TLI30325 (as recorded at appointment)</w:t>
            </w:r>
          </w:p>
        </w:tc>
        <w:tc>
          <w:tcPr>
            <w:tcW w:type="dxa" w:w="21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Recent warehousing work (as recorded at appointment)</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2026 PD plan (SRA-RTO-043), due Friday 23 January 2026</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 </w:t>
            </w:r>
            <w:r>
              <w:rPr>
                <w:rFonts w:ascii="Aptos" w:cs="Aptos" w:eastAsia="Aptos" w:hAnsi="Aptos"/>
                <w:b/>
                <w:bCs/>
                <w:color w:val="1E2833"/>
                <w:sz w:val="20"/>
                <w:szCs w:val="20"/>
              </w:rPr>
              <w:t xml:space="preserve">under the direction of Craig Moretti</w:t>
            </w:r>
            <w:r>
              <w:rPr>
                <w:rFonts w:ascii="Aptos" w:cs="Aptos" w:eastAsia="Aptos" w:hAnsi="Aptos"/>
                <w:color w:val="1E2833"/>
                <w:sz w:val="20"/>
                <w:szCs w:val="20"/>
              </w:rPr>
              <w:t xml:space="preserve"> until TAE40122 is complete: trains, conducts assessment and collects evidence; the directing assessor makes and signs every judgement</w:t>
            </w:r>
          </w:p>
        </w:tc>
        <w:tc>
          <w:tcPr>
            <w:tcW w:type="dxa" w:w="183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Completing TAE40122 (under direction until then); progress checked at each PD plan review</w:t>
            </w:r>
          </w:p>
        </w:tc>
      </w:tr>
      <w:tr>
        <w:trPr>
          <w:cantSplit/>
        </w:trPr>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Ruth Ellery, external validator (contract)</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(2022); TAE50122 (2023)</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3A</w:t>
            </w:r>
          </w:p>
        </w:tc>
        <w:tc>
          <w:tcPr>
            <w:tcW w:type="dxa" w:w="17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TLI. Partners with Tom Bellamy (industry expert) on the validation panel (Standard 1.5(2)(e))</w:t>
            </w:r>
          </w:p>
        </w:tc>
        <w:tc>
          <w:tcPr>
            <w:tcW w:type="dxa" w:w="21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applicable</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Validation; audit preparation</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Validator only (post-use validation). Not a SteelRiver employee</w:t>
            </w:r>
          </w:p>
        </w:tc>
        <w:tc>
          <w:tcPr>
            <w:tcW w:type="dxa" w:w="183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r>
    </w:tbl>
    <w:p>
      <w:pPr>
        <w:spacing w:before="120" w:after="120" w:line="276"/>
      </w:pPr>
      <w:r>
        <w:rPr>
          <w:rFonts w:ascii="Aptos" w:cs="Aptos" w:eastAsia="Aptos" w:hAnsi="Aptos"/>
          <w:color w:val="1E2833"/>
          <w:sz w:val="20"/>
          <w:szCs w:val="20"/>
        </w:rPr>
        <w:t xml:space="preserve">The trainer team from January 2026 is Craig Moretti, Leanne Okafor and the TA-03. Rohan Desai also trains and assesses.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Part 2: vocational competency and industry currency by unit</w:t>
      </w:r>
    </w:p>
    <w:p>
      <w:pPr>
        <w:spacing w:before="0" w:after="120" w:line="276"/>
      </w:pPr>
      <w:r>
        <w:rPr>
          <w:rFonts w:ascii="Aptos" w:cs="Aptos" w:eastAsia="Aptos" w:hAnsi="Aptos"/>
          <w:color w:val="1E2833"/>
          <w:sz w:val="20"/>
          <w:szCs w:val="20"/>
        </w:rPr>
        <w:t xml:space="preserve">Key: </w:t>
      </w:r>
      <w:r>
        <w:rPr>
          <w:rFonts w:ascii="Aptos" w:cs="Aptos" w:eastAsia="Aptos" w:hAnsi="Aptos"/>
          <w:b/>
          <w:bCs/>
          <w:color w:val="1E2833"/>
          <w:sz w:val="20"/>
          <w:szCs w:val="20"/>
        </w:rPr>
        <w:t xml:space="preserve">Yes</w:t>
      </w:r>
      <w:r>
        <w:rPr>
          <w:rFonts w:ascii="Aptos" w:cs="Aptos" w:eastAsia="Aptos" w:hAnsi="Aptos"/>
          <w:color w:val="1E2833"/>
          <w:sz w:val="20"/>
          <w:szCs w:val="20"/>
        </w:rPr>
        <w:t xml:space="preserve"> = vocational competency and current industry skills evidenced for the unit. </w:t>
      </w:r>
      <w:r>
        <w:rPr>
          <w:rFonts w:ascii="Aptos" w:cs="Aptos" w:eastAsia="Aptos" w:hAnsi="Aptos"/>
          <w:b/>
          <w:bCs/>
          <w:color w:val="1E2833"/>
          <w:sz w:val="20"/>
          <w:szCs w:val="20"/>
        </w:rPr>
        <w:t xml:space="preserve">Yes (under direction)</w:t>
      </w:r>
      <w:r>
        <w:rPr>
          <w:rFonts w:ascii="Aptos" w:cs="Aptos" w:eastAsia="Aptos" w:hAnsi="Aptos"/>
          <w:color w:val="1E2833"/>
          <w:sz w:val="20"/>
          <w:szCs w:val="20"/>
        </w:rPr>
        <w:t xml:space="preserve"> = evidenced, but the person works under direction and does not make judgements. </w:t>
      </w:r>
      <w:r>
        <w:rPr>
          <w:rFonts w:ascii="Aptos" w:cs="Aptos" w:eastAsia="Aptos" w:hAnsi="Aptos"/>
          <w:b/>
          <w:bCs/>
          <w:color w:val="1E2833"/>
          <w:sz w:val="20"/>
          <w:szCs w:val="20"/>
        </w:rPr>
        <w:t xml:space="preserve">Check</w:t>
      </w:r>
      <w:r>
        <w:rPr>
          <w:rFonts w:ascii="Aptos" w:cs="Aptos" w:eastAsia="Aptos" w:hAnsi="Aptos"/>
          <w:color w:val="1E2833"/>
          <w:sz w:val="20"/>
          <w:szCs w:val="20"/>
        </w:rPr>
        <w:t xml:space="preserve"> = the person holds a superseded qualification; the units held are to be compared with this unit (Standard 3.3(2)(a)(i)). </w:t>
      </w:r>
      <w:r>
        <w:rPr>
          <w:rFonts w:ascii="Aptos" w:cs="Aptos" w:eastAsia="Aptos" w:hAnsi="Aptos"/>
          <w:b/>
          <w:bCs/>
          <w:color w:val="1E2833"/>
          <w:sz w:val="20"/>
          <w:szCs w:val="20"/>
        </w:rPr>
        <w:t xml:space="preserve">Gap</w:t>
      </w:r>
      <w:r>
        <w:rPr>
          <w:rFonts w:ascii="Aptos" w:cs="Aptos" w:eastAsia="Aptos" w:hAnsi="Aptos"/>
          <w:color w:val="1E2833"/>
          <w:sz w:val="20"/>
          <w:szCs w:val="20"/>
        </w:rPr>
        <w:t xml:space="preserve"> = current industry skills not evidenced for this unit (Standard 3.3(2)(a)(ii)); the action is in Part 1.</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00"/>
        <w:gridCol w:w="2496"/>
        <w:gridCol w:w="2496"/>
        <w:gridCol w:w="2496"/>
        <w:gridCol w:w="2496"/>
      </w:tblGrid>
      <w:tr>
        <w:trPr>
          <w:cantSplit/>
          <w:tblHeader/>
        </w:trPr>
        <w:tc>
          <w:tcPr>
            <w:tcW w:type="dxa" w:w="4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(TLI30325 Release 1, Academy package)</w:t>
            </w:r>
          </w:p>
        </w:tc>
        <w:tc>
          <w:tcPr>
            <w:tcW w:type="dxa" w:w="249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Craig Moretti</w:t>
            </w:r>
          </w:p>
        </w:tc>
        <w:tc>
          <w:tcPr>
            <w:tcW w:type="dxa" w:w="249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Rohan Desai</w:t>
            </w:r>
          </w:p>
        </w:tc>
        <w:tc>
          <w:tcPr>
            <w:tcW w:type="dxa" w:w="249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Leanne Okafor</w:t>
            </w:r>
          </w:p>
        </w:tc>
        <w:tc>
          <w:tcPr>
            <w:tcW w:type="dxa" w:w="249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TA-03</w:t>
            </w:r>
          </w:p>
        </w:tc>
      </w:tr>
      <w:tr>
        <w:trPr>
          <w:cantSplit/>
        </w:trPr>
        <w:tc>
          <w:tcPr>
            <w:tcW w:type="dxa" w:w="4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Shift materials safely using manual handling methods (core)</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4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TLIF0009 Ensure the safety of transport activities (Chain of Responsibility) (core)</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4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TLIA0004 Complete receival and despatch documentation (Group B)</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4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Identify goods and store to specifications (Group B)</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w:t>
            </w:r>
            <w:r>
              <w:rPr>
                <w:rFonts w:ascii="Aptos" w:cs="Aptos" w:eastAsia="Aptos" w:hAnsi="Aptos"/>
                <w:b/>
                <w:bCs/>
                <w:color w:val="1E2833"/>
                <w:sz w:val="20"/>
                <w:szCs w:val="20"/>
              </w:rPr>
              <w:t xml:space="preserve">Gap</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4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TLIA0015 Organise receival and despatch operations (Group B)</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w:t>
            </w:r>
            <w:r>
              <w:rPr>
                <w:rFonts w:ascii="Aptos" w:cs="Aptos" w:eastAsia="Aptos" w:hAnsi="Aptos"/>
                <w:b/>
                <w:bCs/>
                <w:color w:val="1E2833"/>
                <w:sz w:val="20"/>
                <w:szCs w:val="20"/>
              </w:rPr>
              <w:t xml:space="preserve">Gap</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4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TLIX0013X Maintain stock control and receivals (Group B)</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4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TLIF3003 Implement and monitor work health and safety procedures (Group D)</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4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TLIL0007 Complete workplace induction procedures (Group D)</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4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TLIK2010 Use infotechnology devices in the workplace (Group D)</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4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TLIE2007 Use communications systems (Group D)</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4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TLIA0008 Coordinate stocktakes (Group D)</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4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TLIJ0003 Apply quality systems (Group D)</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4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TLIO0003 Follow security procedures when working with goods and cargo (Group D)</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49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4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TLIA0022 Pick and process orders (imported from TLI20421)</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49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Part 3: direction arrangements and validators</w:t>
      </w:r>
    </w:p>
    <w:p>
      <w:pPr>
        <w:keepNext/>
        <w:spacing w:before="200" w:after="80"/>
      </w:pPr>
      <w:r>
        <w:rPr>
          <w:rFonts w:ascii="Aptos Display" w:cs="Aptos Display" w:eastAsia="Aptos Display" w:hAnsi="Aptos Display"/>
          <w:b/>
          <w:bCs/>
          <w:color w:val="4F7F80"/>
          <w:sz w:val="24"/>
          <w:szCs w:val="24"/>
        </w:rPr>
        <w:t xml:space="preserve">4.1 Direction (Credential Policy 1C, 1D and 1E; Standard 3.2(2)(b))</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2300"/>
        <w:gridCol w:w="2400"/>
        <w:gridCol w:w="2600"/>
        <w:gridCol w:w="4784"/>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Person under direction</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Credential Policy section</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Directing assessor (Credential Policy 1E)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From</w:t>
            </w:r>
          </w:p>
        </w:tc>
        <w:tc>
          <w:tcPr>
            <w:tcW w:type="dxa" w:w="47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they may do, and the limits</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TA-03, Trainer and Assessor</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1C (enrolled in TAE40122)</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 (TAE40122: 1A and 1E)</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Monday 5 January 2026, until TAE40122 is complete and confirmed in this matrix</w:t>
            </w:r>
          </w:p>
        </w:tc>
        <w:tc>
          <w:tcPr>
            <w:tcW w:type="dxa" w:w="47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Trains; conducts assessment and collects evidence with the Academy's reviewed tools; takes part in validation as a panel member. Never makes or signs a judgement: Craig Moretti makes and signs every judgement on the evidence collected (SRA-RTO-003 section 3)</w:t>
            </w:r>
          </w:p>
        </w:tc>
      </w:tr>
    </w:tbl>
    <w:p>
      <w:pPr>
        <w:keepNext/>
        <w:spacing w:before="200" w:after="80"/>
      </w:pPr>
      <w:r>
        <w:rPr>
          <w:rFonts w:ascii="Aptos Display" w:cs="Aptos Display" w:eastAsia="Aptos Display" w:hAnsi="Aptos Display"/>
          <w:b/>
          <w:bCs/>
          <w:color w:val="4F7F80"/>
          <w:sz w:val="24"/>
          <w:szCs w:val="24"/>
        </w:rPr>
        <w:t xml:space="preserve">4.2 Validation panel (Standard 1.5(2)(e); Credential Policy 3A)</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3800"/>
        <w:gridCol w:w="3800"/>
        <w:gridCol w:w="3884"/>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Validation panel member (SRA-RTO-031)</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Credential (Credential Policy 3A)</w:t>
            </w:r>
          </w:p>
        </w:tc>
        <w:tc>
          <w:tcPr>
            <w:tcW w:type="dxa" w:w="38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Industry competency and currency</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Lead validator</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(2022): meets 3A</w:t>
            </w:r>
          </w:p>
        </w:tc>
        <w:tc>
          <w:tcPr>
            <w:tcW w:type="dxa" w:w="3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TLI30321 (2022, RPL); 2 days a quarter on the floor</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Ruth Ellery (contract)</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External validator, post-use validation only</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(2022) and TAE50122 (2023): meets 3A</w:t>
            </w:r>
          </w:p>
        </w:tc>
        <w:tc>
          <w:tcPr>
            <w:tcW w:type="dxa" w:w="38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TLI; partners with Tom Bellamy</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Tom Bellamy, afternoon shift supervisor, Perth DC</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Industry expert. Advises on current Perth DC practice; does not make assessment judgements</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(not required for his role)</w:t>
            </w:r>
          </w:p>
        </w:tc>
        <w:tc>
          <w:tcPr>
            <w:tcW w:type="dxa" w:w="3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on the current Perth DC floor; mentors junior operators</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TA-03, Trainer and Assessor</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Panel member. Does not lead</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Actively working towards TAE40122 (1C): takes part; Rohan Desai and Ruth Ellery provide the 3A credential</w:t>
            </w:r>
          </w:p>
        </w:tc>
        <w:tc>
          <w:tcPr>
            <w:tcW w:type="dxa" w:w="38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TLI30325 and recent warehousing work (as recorded at appointment)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Keeping this matrix</w:t>
      </w:r>
    </w:p>
    <w:p>
      <w:pPr>
        <w:pStyle w:val="ListParagraph"/>
        <w:numPr>
          <w:ilvl w:val="0"/>
          <w:numId w:val="2"/>
        </w:numPr>
        <w:spacing w:after="60" w:line="264"/>
      </w:pPr>
      <w:r>
        <w:rPr>
          <w:rFonts w:ascii="Aptos" w:cs="Aptos" w:eastAsia="Aptos" w:hAnsi="Aptos"/>
          <w:color w:val="1E2833"/>
          <w:sz w:val="20"/>
          <w:szCs w:val="20"/>
        </w:rPr>
        <w:t xml:space="preserve">Rohan Desai owns this matrix and updates it from the evidence each person sends: certificates, USI transcripts, unit mapping, floor shift records and PD records (SRA-RTO-043). Entries are made within 10 business days of the evidence (SRA-RTO-009).</w:t>
      </w:r>
    </w:p>
    <w:p>
      <w:pPr>
        <w:pStyle w:val="ListParagraph"/>
        <w:numPr>
          <w:ilvl w:val="0"/>
          <w:numId w:val="2"/>
        </w:numPr>
        <w:spacing w:after="60" w:line="264"/>
      </w:pPr>
      <w:r>
        <w:rPr>
          <w:rFonts w:ascii="Aptos" w:cs="Aptos" w:eastAsia="Aptos" w:hAnsi="Aptos"/>
          <w:color w:val="1E2833"/>
          <w:sz w:val="20"/>
          <w:szCs w:val="20"/>
        </w:rPr>
        <w:t xml:space="preserve">Gemma Whitfield, Academy Manager, decides whether a recorded gap is closed. A gap stays open until she has seen the evidence.</w:t>
      </w:r>
    </w:p>
    <w:p>
      <w:pPr>
        <w:pStyle w:val="ListParagraph"/>
        <w:numPr>
          <w:ilvl w:val="0"/>
          <w:numId w:val="2"/>
        </w:numPr>
        <w:spacing w:after="60" w:line="264"/>
      </w:pPr>
      <w:r>
        <w:rPr>
          <w:rFonts w:ascii="Aptos" w:cs="Aptos" w:eastAsia="Aptos" w:hAnsi="Aptos"/>
          <w:color w:val="1E2833"/>
          <w:sz w:val="20"/>
          <w:szCs w:val="20"/>
        </w:rPr>
        <w:t xml:space="preserve">A person assesses a unit only where this matrix shows the credential, the vocational competency and current industry skills for that unit (SRA-RTO-003 section 3). Assessors check their own entry before each assessment round; assessment tools ask the assessor to confirm it (assessment conditions, Part 1 of each tool).</w:t>
      </w:r>
    </w:p>
    <w:p>
      <w:pPr>
        <w:pStyle w:val="ListParagraph"/>
        <w:numPr>
          <w:ilvl w:val="0"/>
          <w:numId w:val="2"/>
        </w:numPr>
        <w:spacing w:after="60" w:line="264"/>
      </w:pPr>
      <w:r>
        <w:rPr>
          <w:rFonts w:ascii="Aptos" w:cs="Aptos" w:eastAsia="Aptos" w:hAnsi="Aptos"/>
          <w:color w:val="1E2833"/>
          <w:sz w:val="20"/>
          <w:szCs w:val="20"/>
        </w:rPr>
        <w:t xml:space="preserve">Trainer currency is a standing item at every Quality Committee meeting. Rohan Desai reports open gaps and the actions agreed.</w:t>
      </w:r>
    </w:p>
    <w:p>
      <w:pPr>
        <w:pStyle w:val="ListParagraph"/>
        <w:numPr>
          <w:ilvl w:val="0"/>
          <w:numId w:val="2"/>
        </w:numPr>
        <w:spacing w:after="60" w:line="264"/>
      </w:pPr>
      <w:r>
        <w:rPr>
          <w:rFonts w:ascii="Aptos" w:cs="Aptos" w:eastAsia="Aptos" w:hAnsi="Aptos"/>
          <w:color w:val="1E2833"/>
          <w:sz w:val="20"/>
          <w:szCs w:val="20"/>
        </w:rPr>
        <w:t xml:space="preserve">Superseded qualifications are checked on training.gov.au against the current units before they are accepted as evidence of vocational competency. Equivalence is not assumed.</w:t>
      </w:r>
    </w:p>
    <w:p>
      <w:pPr>
        <w:pStyle w:val="ListParagraph"/>
        <w:numPr>
          <w:ilvl w:val="0"/>
          <w:numId w:val="2"/>
        </w:numPr>
        <w:spacing w:after="60" w:line="264"/>
      </w:pPr>
      <w:r>
        <w:rPr>
          <w:rFonts w:ascii="Aptos" w:cs="Aptos" w:eastAsia="Aptos" w:hAnsi="Aptos"/>
          <w:color w:val="1E2833"/>
          <w:sz w:val="20"/>
          <w:szCs w:val="20"/>
        </w:rPr>
        <w:t xml:space="preserve">Certified copies of credentials and the currency evidence are kept in each person's confidential staff file with People and Culture. This matrix is shared only with the people who need it (Academy staff, validators, TAC on request).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Related documents and Standards</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 (section 3, who may assess; direction rules)</w:t>
      </w:r>
    </w:p>
    <w:p>
      <w:pPr>
        <w:pStyle w:val="ListParagraph"/>
        <w:numPr>
          <w:ilvl w:val="0"/>
          <w:numId w:val="2"/>
        </w:numPr>
        <w:spacing w:after="60" w:line="264"/>
      </w:pPr>
      <w:r>
        <w:rPr>
          <w:rFonts w:ascii="Aptos" w:cs="Aptos" w:eastAsia="Aptos" w:hAnsi="Aptos"/>
          <w:color w:val="1E2833"/>
          <w:sz w:val="20"/>
          <w:szCs w:val="20"/>
        </w:rPr>
        <w:t xml:space="preserve">SRA-RTO-004 Validation Policy and Procedure; SRA-RTO-031 Validation Schedule 2026 to 2030</w:t>
      </w:r>
    </w:p>
    <w:p>
      <w:pPr>
        <w:pStyle w:val="ListParagraph"/>
        <w:numPr>
          <w:ilvl w:val="0"/>
          <w:numId w:val="2"/>
        </w:numPr>
        <w:spacing w:after="60" w:line="264"/>
      </w:pPr>
      <w:r>
        <w:rPr>
          <w:rFonts w:ascii="Aptos" w:cs="Aptos" w:eastAsia="Aptos" w:hAnsi="Aptos"/>
          <w:color w:val="1E2833"/>
          <w:sz w:val="20"/>
          <w:szCs w:val="20"/>
        </w:rPr>
        <w:t xml:space="preserve">SRA-RTO-009 Trainer and Assessor Credentials, Currency and Professional Development Policy</w:t>
      </w:r>
    </w:p>
    <w:p>
      <w:pPr>
        <w:pStyle w:val="ListParagraph"/>
        <w:numPr>
          <w:ilvl w:val="0"/>
          <w:numId w:val="2"/>
        </w:numPr>
        <w:spacing w:after="60" w:line="264"/>
      </w:pPr>
      <w:r>
        <w:rPr>
          <w:rFonts w:ascii="Aptos" w:cs="Aptos" w:eastAsia="Aptos" w:hAnsi="Aptos"/>
          <w:color w:val="1E2833"/>
          <w:sz w:val="20"/>
          <w:szCs w:val="20"/>
        </w:rPr>
        <w:t xml:space="preserve">SRA-RTO-042 Position Description: Trainer and Assessor (TA-03); SRA-RTO-043 Professional Development Plan Template and PD Record Extract</w:t>
      </w:r>
    </w:p>
    <w:p>
      <w:pPr>
        <w:pStyle w:val="ListParagraph"/>
        <w:numPr>
          <w:ilvl w:val="0"/>
          <w:numId w:val="2"/>
        </w:numPr>
        <w:spacing w:after="60" w:line="264"/>
      </w:pPr>
      <w:r>
        <w:rPr>
          <w:rFonts w:ascii="Aptos" w:cs="Aptos" w:eastAsia="Aptos" w:hAnsi="Aptos"/>
          <w:color w:val="1E2833"/>
          <w:sz w:val="20"/>
          <w:szCs w:val="20"/>
        </w:rPr>
        <w:t xml:space="preserve">Standards 3.1 to 3.3 (VET workforce); Standard 1.5(2)(e) (validator competencies); Credential Policy 1A, 1C, 1D, 1E and 3A</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February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Matrix rebuilt against the Registration Standards 2025 (from 1 January 2026) and the Credential Policy of 10 December 2025. TA-03 added (from 5 January 2026). Per-unit view and direction arrangements added. Replaces the staff credentials register kept from 2022 to 2025.</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6838" w:h="11906" w:orient="landscape"/>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14684"/>
      </w:tabs>
    </w:pPr>
    <w:r>
      <w:rPr>
        <w:rFonts w:ascii="Aptos" w:cs="Aptos" w:eastAsia="Aptos" w:hAnsi="Aptos"/>
        <w:color w:val="5F6B77"/>
        <w:sz w:val="14"/>
        <w:szCs w:val="14"/>
      </w:rPr>
      <w:t xml:space="preserve">SteelRiver Academy, RTO 99999 (simulated)  ·  SRA-RTO-041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14684"/>
      </w:tabs>
    </w:pPr>
    <w:r>
      <w:rPr>
        <w:rFonts w:ascii="Aptos" w:cs="Aptos" w:eastAsia="Aptos" w:hAnsi="Aptos"/>
        <w:color w:val="5F6B77"/>
        <w:sz w:val="14"/>
        <w:szCs w:val="14"/>
      </w:rPr>
      <w:t xml:space="preserve">SteelRiver Academy, RTO 99999 (simulated)  ·  SRA-RTO-041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14684"/>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SRA-RTO-041  ·  Trainer and Assessor Credentials Matrix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SRA-RTO-041 Trainer and Assessor Credentials Matrix</dc:title>
  <dc:creator>SteelRiver Logistics Pty Ltd trading as SteelRiver Academy</dc:creator>
  <cp:lastModifiedBy>Un-named</cp:lastModifiedBy>
  <cp:revision>1</cp:revision>
  <dcterms:created xsi:type="dcterms:W3CDTF">2026-11-01T14:49:48.662Z</dcterms:created>
  <dcterms:modified xsi:type="dcterms:W3CDTF">2026-11-01T14:49:48.662Z</dcterms:modified>
</cp:coreProperties>
</file>

<file path=docProps/custom.xml><?xml version="1.0" encoding="utf-8"?>
<Properties xmlns="http://schemas.openxmlformats.org/officeDocument/2006/custom-properties" xmlns:vt="http://schemas.openxmlformats.org/officeDocument/2006/docPropsVTypes"/>
</file>