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ACADEMY DOCUMENT</w:t>
            </w:r>
          </w:p>
          <w:p>
            <w:pPr>
              <w:spacing w:after="0"/>
              <w:jc w:val="right"/>
            </w:pPr>
            <w:r>
              <w:rPr>
                <w:rFonts w:ascii="Aptos Display" w:cs="Aptos Display" w:eastAsia="Aptos Display" w:hAnsi="Aptos Display"/>
                <w:b/>
                <w:bCs/>
                <w:color w:val="0E4D4F"/>
                <w:sz w:val="36"/>
                <w:szCs w:val="36"/>
              </w:rPr>
              <w:t xml:space="preserve">SRA-RTO-042</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Position Description: Trainer and Assessor (TA-03)</w:t>
      </w:r>
    </w:p>
    <w:p>
      <w:pPr>
        <w:spacing w:before="0" w:after="160" w:line="276"/>
      </w:pPr>
      <w:r>
        <w:rPr>
          <w:rFonts w:ascii="Aptos" w:cs="Aptos" w:eastAsia="Aptos" w:hAnsi="Aptos"/>
          <w:color w:val="4F7F80"/>
          <w:sz w:val="24"/>
          <w:szCs w:val="24"/>
        </w:rPr>
        <w:t xml:space="preserve">SteelRiver Academy, People and Culture, Perth Distribution Centre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SRA-RTO-042</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December 2025</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Lila Petrov, Head of People and Culture</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December 2026, or when the role changes</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The Trainer and Assessor (TA-03) position and the managers who supervise it</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Position details</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Position title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Trainer and Assessor</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Position number</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TA-03 (new position, approved December 2025, filled from January 2026)</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Business unit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SteelRiver Academy (RTO 99999, simulated), the registered arm of the People and Culture Learning and Development team, SteelRiver Logistics Pty Ltd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Perth DC, Lot 14 Kewdale Road, Kewdale WA 6105: Training Room 1 (admin building), the training bay at the north end of inbound staging, and the live warehouse floor</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Reports to</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Craig Moretti, Lead Trainer and Assessor (training and assessment practice); Gemma Whitfield, Academy Manager (compliance and administration)</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Direct reports</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w:t>
            </w:r>
          </w:p>
        </w:tc>
      </w:tr>
    </w:tbl>
    <w:p>
      <w:pPr>
        <w:spacing w:after="16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Purpose</w:t>
      </w:r>
    </w:p>
    <w:p>
      <w:pPr>
        <w:spacing w:before="0" w:after="120" w:line="276"/>
      </w:pPr>
      <w:r>
        <w:rPr>
          <w:rFonts w:ascii="Aptos" w:cs="Aptos" w:eastAsia="Aptos" w:hAnsi="Aptos"/>
          <w:color w:val="1E2833"/>
          <w:sz w:val="20"/>
          <w:szCs w:val="20"/>
        </w:rPr>
        <w:t xml:space="preserve">Plan, deliver and assess TLI30325 training for SteelRiver workers at the Perth DC, so learners are "safe, skilled and supported from day one", within the Standards for RTOs 2025 and Academy policies.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Reporting</w:t>
      </w:r>
    </w:p>
    <w:p>
      <w:pPr>
        <w:spacing w:before="0" w:after="120" w:line="276"/>
      </w:pPr>
      <w:r>
        <w:rPr>
          <w:rFonts w:ascii="Aptos" w:cs="Aptos" w:eastAsia="Aptos" w:hAnsi="Aptos"/>
          <w:color w:val="1E2833"/>
          <w:sz w:val="20"/>
          <w:szCs w:val="20"/>
        </w:rPr>
        <w:t xml:space="preserve">Reports to Craig Moretti, Lead Trainer and Assessor, for training and assessment practice and to Gemma Whitfield, Academy Manager, for compliance and administration. Works with Rohan Desai on validation and compliance, Ivy Chua on records, and SteelRiver shift supervisors and warehouse leads on workplace learning.</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Key duties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blHeader/>
        </w:trPr>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p>
        </w:tc>
        <w:tc>
          <w:tcPr>
            <w:tcW w:type="dxa" w:w="90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Duty</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w:t>
            </w:r>
          </w:p>
        </w:tc>
        <w:tc>
          <w:tcPr>
            <w:tcW w:type="dxa" w:w="9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Analyse learner needs and plan training using the TAS (SRA-RTO-011).</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w:t>
            </w:r>
          </w:p>
        </w:tc>
        <w:tc>
          <w:tcPr>
            <w:tcW w:type="dxa" w:w="9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Deliver off-floor sessions, training bay instruction and workplace training.</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w:t>
            </w:r>
          </w:p>
        </w:tc>
        <w:tc>
          <w:tcPr>
            <w:tcW w:type="dxa" w:w="9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Conduct assessment and collect evidence using the Academy's reviewed tools; make assessment judgements only when the Credential Policy allows.</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w:t>
            </w:r>
          </w:p>
        </w:tc>
        <w:tc>
          <w:tcPr>
            <w:tcW w:type="dxa" w:w="9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Support learners: pre-training review results, LLN support plans, reasonable adjustments, referrals.</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w:t>
            </w:r>
          </w:p>
        </w:tc>
        <w:tc>
          <w:tcPr>
            <w:tcW w:type="dxa" w:w="9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Keep accurate, timely records in the SMS.</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w:t>
            </w:r>
          </w:p>
        </w:tc>
        <w:tc>
          <w:tcPr>
            <w:tcW w:type="dxa" w:w="9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Take part in validation, the Quality Committee and industry engagement.</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w:t>
            </w:r>
          </w:p>
        </w:tc>
        <w:tc>
          <w:tcPr>
            <w:tcW w:type="dxa" w:w="9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Handle feedback and complaints under SRA-RTO-008 and record improvements.</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w:t>
            </w:r>
          </w:p>
        </w:tc>
        <w:tc>
          <w:tcPr>
            <w:tcW w:type="dxa" w:w="9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Follow SteelRiver site rules, the Code of Conduct and WHS procedures.</w:t>
            </w:r>
          </w:p>
        </w:tc>
      </w:tr>
    </w:tbl>
    <w:p>
      <w:pPr>
        <w:spacing w:before="120" w:after="120" w:line="276"/>
      </w:pPr>
      <w:r>
        <w:rPr>
          <w:rFonts w:ascii="Aptos" w:cs="Aptos" w:eastAsia="Aptos" w:hAnsi="Aptos"/>
          <w:color w:val="1E2833"/>
          <w:sz w:val="20"/>
          <w:szCs w:val="20"/>
        </w:rPr>
        <w:t xml:space="preserve">Duties (b) and (e) include building and keeping the Academy learning pages on academy.trainingworx.com.au for the units the position delivers.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Credentials</w:t>
      </w:r>
    </w:p>
    <w:p>
      <w:pPr>
        <w:spacing w:before="0" w:after="120" w:line="276"/>
      </w:pPr>
      <w:r>
        <w:rPr>
          <w:rFonts w:ascii="Aptos" w:cs="Aptos" w:eastAsia="Aptos" w:hAnsi="Aptos"/>
          <w:color w:val="1E2833"/>
          <w:sz w:val="20"/>
          <w:szCs w:val="20"/>
        </w:rPr>
        <w:t xml:space="preserve">TAE40122 Certificate IV in Training and Assessment, or another credential listed in Credential Policy 1A; or enrolled in and actively working towards TAE40122 under Credential Policy 1C, completing it within two years and working under direction until then.</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Working under direction (SRA-RTO-003 section 3; SRA-RTO-009)</w:t>
            </w:r>
          </w:p>
          <w:p>
            <w:pPr>
              <w:spacing w:before="0" w:after="60" w:line="276"/>
            </w:pPr>
            <w:r>
              <w:rPr>
                <w:rFonts w:ascii="Aptos" w:cs="Aptos" w:eastAsia="Aptos" w:hAnsi="Aptos"/>
                <w:color w:val="1E2833"/>
                <w:sz w:val="20"/>
                <w:szCs w:val="20"/>
              </w:rPr>
              <w:t xml:space="preserve">While the position holder is under Credential Policy 1C, they train, conduct assessment and collect evidence under the direction of a person who meets Credential Policy 1E (the Lead Trainer and Assessor). The directing assessor makes and signs every assessment judgement. The position holder never signs a Competency Judgement Record and never tells a candidate they are competent or not yet competent. Status is recorded in the Trainer and Assessor Credentials Matrix (SRA-RTO-041).</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Vocational competency and industry skills</w:t>
      </w:r>
    </w:p>
    <w:p>
      <w:pPr>
        <w:spacing w:before="0" w:after="120" w:line="276"/>
      </w:pPr>
      <w:r>
        <w:rPr>
          <w:rFonts w:ascii="Aptos" w:cs="Aptos" w:eastAsia="Aptos" w:hAnsi="Aptos"/>
          <w:color w:val="1E2833"/>
          <w:sz w:val="20"/>
          <w:szCs w:val="20"/>
        </w:rPr>
        <w:t xml:space="preserve">TLI30325 Certificate III in Supply Chain Operations (or equivalent units) and recent warehousing experience; industry skills kept current to the level required by Standard 3.3, at the Perth DC.</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Key performance indicators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5152"/>
      </w:tblGrid>
      <w:tr>
        <w:trPr>
          <w:cantSplit/>
          <w:tblHeader/>
        </w:trPr>
        <w:tc>
          <w:tcPr>
            <w:tcW w:type="dxa" w:w="4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KPI</w:t>
            </w:r>
          </w:p>
        </w:tc>
        <w:tc>
          <w:tcPr>
            <w:tcW w:type="dxa" w:w="5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Measure and source</w:t>
            </w:r>
          </w:p>
        </w:tc>
      </w:tr>
      <w:tr>
        <w:trPr>
          <w:cantSpli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 progress against the training plan</w:t>
            </w:r>
          </w:p>
        </w:tc>
        <w:tc>
          <w:tcPr>
            <w:tcW w:type="dxa" w:w="5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Progress recorded on session records (SRA-RTO-045) and learning plans; reviewed with the Lead Trainer</w:t>
            </w:r>
          </w:p>
        </w:tc>
      </w:tr>
      <w:tr>
        <w:trPr>
          <w:cantSpli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Assessment records complete and accurate</w:t>
            </w:r>
          </w:p>
        </w:tc>
        <w:tc>
          <w:tcPr>
            <w:tcW w:type="dxa" w:w="5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Records checked by Student Services and at validation</w:t>
            </w:r>
          </w:p>
        </w:tc>
      </w:tr>
      <w:tr>
        <w:trPr>
          <w:cantSpli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No validation finding against your own practice that is not actioned</w:t>
            </w:r>
          </w:p>
        </w:tc>
        <w:tc>
          <w:tcPr>
            <w:tcW w:type="dxa" w:w="5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Validation records and the continuous improvement register (SRA-RTO-002)</w:t>
            </w:r>
          </w:p>
        </w:tc>
      </w:tr>
      <w:tr>
        <w:trPr>
          <w:cantSpli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Results to Student Services within 5 business days of a final assessment</w:t>
            </w:r>
          </w:p>
        </w:tc>
        <w:tc>
          <w:tcPr>
            <w:tcW w:type="dxa" w:w="5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Ivy Chua's results-entry report from the SMS (SRA-RTO-003 section 11)</w:t>
            </w:r>
          </w:p>
        </w:tc>
      </w:tr>
      <w:tr>
        <w:trPr>
          <w:cantSpli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PD plan agreed and at least 20 hours of VET and industry PD a year (SRA-RTO-009)</w:t>
            </w:r>
          </w:p>
        </w:tc>
        <w:tc>
          <w:tcPr>
            <w:tcW w:type="dxa" w:w="5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PD record (SRA-RTO-043); credentials matrix (SRA-RTO-041)</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Checks and conditions</w:t>
      </w:r>
    </w:p>
    <w:p>
      <w:pPr>
        <w:pStyle w:val="ListParagraph"/>
        <w:numPr>
          <w:ilvl w:val="0"/>
          <w:numId w:val="2"/>
        </w:numPr>
        <w:spacing w:after="60" w:line="264"/>
      </w:pPr>
      <w:r>
        <w:rPr>
          <w:rFonts w:ascii="Aptos" w:cs="Aptos" w:eastAsia="Aptos" w:hAnsi="Aptos"/>
          <w:color w:val="1E2833"/>
          <w:sz w:val="20"/>
          <w:szCs w:val="20"/>
        </w:rPr>
        <w:t xml:space="preserve">National Police Certificate on appointment.</w:t>
      </w:r>
    </w:p>
    <w:p>
      <w:pPr>
        <w:pStyle w:val="ListParagraph"/>
        <w:numPr>
          <w:ilvl w:val="0"/>
          <w:numId w:val="2"/>
        </w:numPr>
        <w:spacing w:after="60" w:line="264"/>
      </w:pPr>
      <w:r>
        <w:rPr>
          <w:rFonts w:ascii="Aptos" w:cs="Aptos" w:eastAsia="Aptos" w:hAnsi="Aptos"/>
          <w:color w:val="1E2833"/>
          <w:sz w:val="20"/>
          <w:szCs w:val="20"/>
        </w:rPr>
        <w:t xml:space="preserve">Working with Children Check before working with any learner under 18 (none enrolled in January 2026).</w:t>
      </w:r>
    </w:p>
    <w:p>
      <w:pPr>
        <w:pStyle w:val="ListParagraph"/>
        <w:numPr>
          <w:ilvl w:val="0"/>
          <w:numId w:val="2"/>
        </w:numPr>
        <w:spacing w:after="60" w:line="264"/>
      </w:pPr>
      <w:r>
        <w:rPr>
          <w:rFonts w:ascii="Aptos" w:cs="Aptos" w:eastAsia="Aptos" w:hAnsi="Aptos"/>
          <w:color w:val="1E2833"/>
          <w:sz w:val="20"/>
          <w:szCs w:val="20"/>
        </w:rPr>
        <w:t xml:space="preserve">SteelRiver employee induction (SRL-CR-048).</w:t>
      </w:r>
    </w:p>
    <w:p>
      <w:pPr>
        <w:pStyle w:val="ListParagraph"/>
        <w:numPr>
          <w:ilvl w:val="0"/>
          <w:numId w:val="2"/>
        </w:numPr>
        <w:spacing w:after="60" w:line="264"/>
      </w:pPr>
      <w:r>
        <w:rPr>
          <w:rFonts w:ascii="Aptos" w:cs="Aptos" w:eastAsia="Aptos" w:hAnsi="Aptos"/>
          <w:color w:val="1E2833"/>
          <w:sz w:val="20"/>
          <w:szCs w:val="20"/>
        </w:rPr>
        <w:t xml:space="preserve">Shift-based work across morning, afternoon, overnight and weekend rosters when learners need it.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8. Development</w:t>
      </w:r>
    </w:p>
    <w:p>
      <w:pPr>
        <w:spacing w:before="0" w:after="120" w:line="276"/>
      </w:pPr>
      <w:r>
        <w:rPr>
          <w:rFonts w:ascii="Aptos" w:cs="Aptos" w:eastAsia="Aptos" w:hAnsi="Aptos"/>
          <w:color w:val="1E2833"/>
          <w:sz w:val="20"/>
          <w:szCs w:val="20"/>
        </w:rPr>
        <w:t xml:space="preserve">A PD plan agreed with the Academy Manager within the first three weeks, reviewed every six months (SRA-RTO-009, template SRA-RTO-043).</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9. Standards this position supports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0"/>
        <w:gridCol w:w="3352"/>
      </w:tblGrid>
      <w:tr>
        <w:trPr>
          <w:cantSplit/>
          <w:tblHeader/>
        </w:trPr>
        <w:tc>
          <w:tcPr>
            <w:tcW w:type="dxa" w:w="6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3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it appears in this position description</w:t>
            </w:r>
          </w:p>
        </w:tc>
      </w:tr>
      <w:tr>
        <w:trPr>
          <w:cantSplit/>
        </w:trPr>
        <w:tc>
          <w:tcPr>
            <w:tcW w:type="dxa" w:w="6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Standards 3.1 to 3.3: credentials, vocational competency, current industry skills and PD of the VET workforce; Credential Policy 1A, 1C and 1E</w:t>
            </w:r>
          </w:p>
        </w:tc>
        <w:tc>
          <w:tcPr>
            <w:tcW w:type="dxa" w:w="3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4, 5 and 8</w:t>
            </w:r>
          </w:p>
        </w:tc>
      </w:tr>
      <w:tr>
        <w:trPr>
          <w:cantSplit/>
        </w:trPr>
        <w:tc>
          <w:tcPr>
            <w:tcW w:type="dxa" w:w="6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3.2(2)(b): people working under direction are supervised and do not make judgements alone</w:t>
            </w:r>
          </w:p>
        </w:tc>
        <w:tc>
          <w:tcPr>
            <w:tcW w:type="dxa" w:w="3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4</w:t>
            </w:r>
          </w:p>
        </w:tc>
      </w:tr>
      <w:tr>
        <w:trPr>
          <w:cantSplit/>
        </w:trPr>
        <w:tc>
          <w:tcPr>
            <w:tcW w:type="dxa" w:w="6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4.3(2)(d) and the Academy risk register: safety of learners, including any learner under 18</w:t>
            </w:r>
          </w:p>
        </w:tc>
        <w:tc>
          <w:tcPr>
            <w:tcW w:type="dxa" w:w="3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7</w:t>
            </w:r>
          </w:p>
        </w:tc>
      </w:tr>
      <w:tr>
        <w:trPr>
          <w:cantSplit/>
        </w:trPr>
        <w:tc>
          <w:tcPr>
            <w:tcW w:type="dxa" w:w="6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Standards 1.1 to 1.4 and 2.1 to 2.8: training, assessment and learner support</w:t>
            </w:r>
          </w:p>
        </w:tc>
        <w:tc>
          <w:tcPr>
            <w:tcW w:type="dxa" w:w="3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3</w:t>
            </w:r>
          </w:p>
        </w:tc>
      </w:tr>
      <w:tr>
        <w:trPr>
          <w:cantSplit/>
        </w:trPr>
        <w:tc>
          <w:tcPr>
            <w:tcW w:type="dxa" w:w="6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Compliance Standards s9 and s10: certification timeframes and records</w:t>
            </w:r>
          </w:p>
        </w:tc>
        <w:tc>
          <w:tcPr>
            <w:tcW w:type="dxa" w:w="3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6 (results to Student Services)</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10. Acceptance</w:t>
      </w:r>
    </w:p>
    <w:p>
      <w:pPr>
        <w:spacing w:before="0" w:after="120" w:line="276"/>
      </w:pPr>
      <w:r>
        <w:rPr>
          <w:rFonts w:ascii="Aptos" w:cs="Aptos" w:eastAsia="Aptos" w:hAnsi="Aptos"/>
          <w:color w:val="1E2833"/>
          <w:sz w:val="20"/>
          <w:szCs w:val="20"/>
        </w:rPr>
        <w:t xml:space="preserve">I have read this position description and accept the duties, conditions and development requirements of the position.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Position holder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Academy Manager (Gemma Whitfield)</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Lead Trainer and Assessor (Craig Moretti)</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December 2025</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position created for the Registration Standards 2025 and TLI30325 delivery (third trainer and assessor).</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Lila Petrov</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SRA-RTO-042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SRA-RTO-042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SRA-RTO-042  ·  Position Description: Trainer and Assessor (TA-03)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SRA-RTO-042 Position Description: Trainer and Assessor (TA-03)</dc:title>
  <dc:creator>SteelRiver Logistics Pty Ltd trading as SteelRiver Academy</dc:creator>
  <cp:lastModifiedBy>Un-named</cp:lastModifiedBy>
  <cp:revision>1</cp:revision>
  <dcterms:created xsi:type="dcterms:W3CDTF">2026-11-01T14:49:48.728Z</dcterms:created>
  <dcterms:modified xsi:type="dcterms:W3CDTF">2026-11-01T14:49:48.728Z</dcterms:modified>
</cp:coreProperties>
</file>

<file path=docProps/custom.xml><?xml version="1.0" encoding="utf-8"?>
<Properties xmlns="http://schemas.openxmlformats.org/officeDocument/2006/custom-properties" xmlns:vt="http://schemas.openxmlformats.org/officeDocument/2006/docPropsVTypes"/>
</file>