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PROCEDURE</w:t>
            </w:r>
          </w:p>
          <w:p>
            <w:pPr>
              <w:spacing w:after="0"/>
              <w:jc w:val="right"/>
            </w:pPr>
            <w:r>
              <w:rPr>
                <w:rFonts w:ascii="Aptos Display" w:cs="Aptos Display" w:eastAsia="Aptos Display" w:hAnsi="Aptos Display"/>
                <w:b/>
                <w:bCs/>
                <w:color w:val="0E4D4F"/>
                <w:sz w:val="36"/>
                <w:szCs w:val="36"/>
              </w:rPr>
              <w:t xml:space="preserve">SRA-RTO-048</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Mentoring Program Guide for New Trainers</w:t>
      </w:r>
    </w:p>
    <w:p>
      <w:pPr>
        <w:spacing w:before="0" w:after="160" w:line="276"/>
      </w:pPr>
      <w:r>
        <w:rPr>
          <w:rFonts w:ascii="Aptos" w:cs="Aptos" w:eastAsia="Aptos" w:hAnsi="Aptos"/>
          <w:color w:val="4F7F80"/>
          <w:sz w:val="24"/>
          <w:szCs w:val="24"/>
        </w:rPr>
        <w:t xml:space="preserve">How the Academy mentors new trainers through their first 12 weeks: purpose, roles, boundaries, confidentiality, structure, sessions and closure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SRA-RTO-048</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May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May 2027, or after the first two mentoring arrangements close</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New Academy trainers (mentees), their mentors, the Lead Trainer and Assessor and the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Purpose</w:t>
      </w:r>
    </w:p>
    <w:p>
      <w:pPr>
        <w:spacing w:before="0" w:after="120" w:line="276"/>
      </w:pPr>
      <w:r>
        <w:rPr>
          <w:rFonts w:ascii="Aptos" w:cs="Aptos" w:eastAsia="Aptos" w:hAnsi="Aptos"/>
          <w:color w:val="1E2833"/>
          <w:sz w:val="20"/>
          <w:szCs w:val="20"/>
        </w:rPr>
        <w:t xml:space="preserve">Mentoring helps new trainers become confident, safe and compliant Academy trainers in their first 12 weeks. It is developmental and confidential. It is not supervision, direction, assessment of the trainer or performance management. It supports the Academy's duties for its VET workforce (Standards 3.1 to 3.3) and the direction system for people working under direction (Credential Policy 1C and 1D; SRA-RTO-009).</w:t>
      </w:r>
    </w:p>
    <w:p>
      <w:pPr>
        <w:spacing w:before="0" w:after="120" w:line="276"/>
      </w:pPr>
      <w:r>
        <w:rPr>
          <w:rFonts w:ascii="Aptos" w:cs="Aptos" w:eastAsia="Aptos" w:hAnsi="Aptos"/>
          <w:color w:val="1E2833"/>
          <w:sz w:val="20"/>
          <w:szCs w:val="20"/>
        </w:rPr>
        <w:t xml:space="preserve">The program applies to every new trainer in their first 12 weeks at the Academy, and in particular to anyone who joins under Credential Policy 1C or 1D. It sits alongside, and does not replace, the trainer's induction, their direction arrangements with the Lead Trainer and Assessor (SRA-RTO-003 section 3) and their PD or learning and development plan (SRA-RTO-043).</w:t>
      </w:r>
    </w:p>
    <w:p>
      <w:pPr>
        <w:keepNext/>
        <w:spacing w:before="200" w:after="80"/>
      </w:pPr>
      <w:r>
        <w:rPr>
          <w:rFonts w:ascii="Aptos Display" w:cs="Aptos Display" w:eastAsia="Aptos Display" w:hAnsi="Aptos Display"/>
          <w:b/>
          <w:bCs/>
          <w:color w:val="4F7F80"/>
          <w:sz w:val="24"/>
          <w:szCs w:val="24"/>
        </w:rPr>
        <w:t xml:space="preserve">1.1 Definitions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Term</w:t>
            </w:r>
          </w:p>
        </w:tc>
        <w:tc>
          <w:tcPr>
            <w:tcW w:type="dxa" w:w="7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Meaning in this guide</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Mentoring</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confidential, developmental relationship in which a more experienced colleague helps a new trainer grow into the job over a set period. The mentee sets the agenda; the mentor guides.</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Direction</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Oversight of a person working under Credential Policy 1C or 1D by a person who meets Credential Policy 1E, including making and signing every assessment judgement on evidence they collect (SRA-RTO-003). Direction is not mentoring.</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Mentoring plan</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agreed, documented plan for the relationship on SRA-RTO-049 Part A.</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Session record</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record of each mentoring session on SRA-RTO-049 Part B.</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Roles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they do</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Mentor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 Academy trainer and assessor outside the mentee's reporting line, who listens, shares experience, helps the mentee solve problems and make decisions, connects them with people and gives honest feedback.</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Mentee</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Sets the agenda, prepares, acts on agreed actions, gives feedback.</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Lead Trainer and Assessor (Craig Moretti)</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Program owner; gives direction to people under 1C and 1D; first contact for concerns about the program. Allocates mentors.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Academy Manager (Gemma Whitfield)</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Approves the program; final contact.</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Boundaries</w:t>
      </w:r>
    </w:p>
    <w:p>
      <w:pPr>
        <w:spacing w:before="0" w:after="120" w:line="276"/>
      </w:pPr>
      <w:r>
        <w:rPr>
          <w:rFonts w:ascii="Aptos" w:cs="Aptos" w:eastAsia="Aptos" w:hAnsi="Aptos"/>
          <w:color w:val="1E2833"/>
          <w:sz w:val="20"/>
          <w:szCs w:val="20"/>
        </w:rPr>
        <w:t xml:space="preserve">The mentor does not:</w:t>
      </w:r>
    </w:p>
    <w:p>
      <w:pPr>
        <w:pStyle w:val="ListParagraph"/>
        <w:numPr>
          <w:ilvl w:val="0"/>
          <w:numId w:val="2"/>
        </w:numPr>
        <w:spacing w:after="60" w:line="264"/>
      </w:pPr>
      <w:r>
        <w:rPr>
          <w:rFonts w:ascii="Aptos" w:cs="Aptos" w:eastAsia="Aptos" w:hAnsi="Aptos"/>
          <w:color w:val="1E2833"/>
          <w:sz w:val="20"/>
          <w:szCs w:val="20"/>
        </w:rPr>
        <w:t xml:space="preserve">give direction (only a person meeting Credential Policy 1E can);</w:t>
      </w:r>
    </w:p>
    <w:p>
      <w:pPr>
        <w:pStyle w:val="ListParagraph"/>
        <w:numPr>
          <w:ilvl w:val="0"/>
          <w:numId w:val="2"/>
        </w:numPr>
        <w:spacing w:after="60" w:line="264"/>
      </w:pPr>
      <w:r>
        <w:rPr>
          <w:rFonts w:ascii="Aptos" w:cs="Aptos" w:eastAsia="Aptos" w:hAnsi="Aptos"/>
          <w:color w:val="1E2833"/>
          <w:sz w:val="20"/>
          <w:szCs w:val="20"/>
        </w:rPr>
        <w:t xml:space="preserve">check, confirm or co-sign the mentee's assessment evidence or make judgements;</w:t>
      </w:r>
    </w:p>
    <w:p>
      <w:pPr>
        <w:pStyle w:val="ListParagraph"/>
        <w:numPr>
          <w:ilvl w:val="0"/>
          <w:numId w:val="2"/>
        </w:numPr>
        <w:spacing w:after="60" w:line="264"/>
      </w:pPr>
      <w:r>
        <w:rPr>
          <w:rFonts w:ascii="Aptos" w:cs="Aptos" w:eastAsia="Aptos" w:hAnsi="Aptos"/>
          <w:color w:val="1E2833"/>
          <w:sz w:val="20"/>
          <w:szCs w:val="20"/>
        </w:rPr>
        <w:t xml:space="preserve">report on the mentee's performance or probation;</w:t>
      </w:r>
    </w:p>
    <w:p>
      <w:pPr>
        <w:pStyle w:val="ListParagraph"/>
        <w:numPr>
          <w:ilvl w:val="0"/>
          <w:numId w:val="2"/>
        </w:numPr>
        <w:spacing w:after="60" w:line="264"/>
      </w:pPr>
      <w:r>
        <w:rPr>
          <w:rFonts w:ascii="Aptos" w:cs="Aptos" w:eastAsia="Aptos" w:hAnsi="Aptos"/>
          <w:color w:val="1E2833"/>
          <w:sz w:val="20"/>
          <w:szCs w:val="20"/>
        </w:rPr>
        <w:t xml:space="preserve">counsel on personal matters (refer to the EAP, SRL-CR-053);</w:t>
      </w:r>
    </w:p>
    <w:p>
      <w:pPr>
        <w:pStyle w:val="ListParagraph"/>
        <w:numPr>
          <w:ilvl w:val="0"/>
          <w:numId w:val="2"/>
        </w:numPr>
        <w:spacing w:after="60" w:line="264"/>
      </w:pPr>
      <w:r>
        <w:rPr>
          <w:rFonts w:ascii="Aptos" w:cs="Aptos" w:eastAsia="Aptos" w:hAnsi="Aptos"/>
          <w:color w:val="1E2833"/>
          <w:sz w:val="20"/>
          <w:szCs w:val="20"/>
        </w:rPr>
        <w:t xml:space="preserve">do the mentee's work or study for them.</w:t>
      </w:r>
    </w:p>
    <w:p>
      <w:pPr>
        <w:spacing w:before="0" w:after="120" w:line="276"/>
      </w:pPr>
      <w:r>
        <w:rPr>
          <w:rFonts w:ascii="Aptos" w:cs="Aptos" w:eastAsia="Aptos" w:hAnsi="Aptos"/>
          <w:color w:val="1E2833"/>
          <w:sz w:val="20"/>
          <w:szCs w:val="20"/>
        </w:rPr>
        <w:t xml:space="preserve">Matters needing direction go to Craig Moretti. Conduct matters follow SRL-CR-020 and SRL-CR-040.</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Confidentiality</w:t>
      </w:r>
    </w:p>
    <w:p>
      <w:pPr>
        <w:spacing w:before="0" w:after="120" w:line="276"/>
      </w:pPr>
      <w:r>
        <w:rPr>
          <w:rFonts w:ascii="Aptos" w:cs="Aptos" w:eastAsia="Aptos" w:hAnsi="Aptos"/>
          <w:color w:val="1E2833"/>
          <w:sz w:val="20"/>
          <w:szCs w:val="20"/>
        </w:rPr>
        <w:t xml:space="preserve">What is discussed stays between mentor and mentee, except:</w:t>
      </w:r>
    </w:p>
    <w:p>
      <w:pPr>
        <w:pStyle w:val="ListParagraph"/>
        <w:numPr>
          <w:ilvl w:val="0"/>
          <w:numId w:val="2"/>
        </w:numPr>
        <w:spacing w:after="60" w:line="264"/>
      </w:pPr>
      <w:r>
        <w:rPr>
          <w:rFonts w:ascii="Aptos" w:cs="Aptos" w:eastAsia="Aptos" w:hAnsi="Aptos"/>
          <w:color w:val="1E2833"/>
          <w:sz w:val="20"/>
          <w:szCs w:val="20"/>
        </w:rPr>
        <w:t xml:space="preserve">a risk to anyone's health or safety;</w:t>
      </w:r>
    </w:p>
    <w:p>
      <w:pPr>
        <w:pStyle w:val="ListParagraph"/>
        <w:numPr>
          <w:ilvl w:val="0"/>
          <w:numId w:val="2"/>
        </w:numPr>
        <w:spacing w:after="60" w:line="264"/>
      </w:pPr>
      <w:r>
        <w:rPr>
          <w:rFonts w:ascii="Aptos" w:cs="Aptos" w:eastAsia="Aptos" w:hAnsi="Aptos"/>
          <w:color w:val="1E2833"/>
          <w:sz w:val="20"/>
          <w:szCs w:val="20"/>
        </w:rPr>
        <w:t xml:space="preserve">a breach of the law or of SRL-CR-020;</w:t>
      </w:r>
    </w:p>
    <w:p>
      <w:pPr>
        <w:pStyle w:val="ListParagraph"/>
        <w:numPr>
          <w:ilvl w:val="0"/>
          <w:numId w:val="2"/>
        </w:numPr>
        <w:spacing w:after="60" w:line="264"/>
      </w:pPr>
      <w:r>
        <w:rPr>
          <w:rFonts w:ascii="Aptos" w:cs="Aptos" w:eastAsia="Aptos" w:hAnsi="Aptos"/>
          <w:color w:val="1E2833"/>
          <w:sz w:val="20"/>
          <w:szCs w:val="20"/>
        </w:rPr>
        <w:t xml:space="preserve">a risk to learners or to the integrity of assessment; or</w:t>
      </w:r>
    </w:p>
    <w:p>
      <w:pPr>
        <w:pStyle w:val="ListParagraph"/>
        <w:numPr>
          <w:ilvl w:val="0"/>
          <w:numId w:val="2"/>
        </w:numPr>
        <w:spacing w:after="60" w:line="264"/>
      </w:pPr>
      <w:r>
        <w:rPr>
          <w:rFonts w:ascii="Aptos" w:cs="Aptos" w:eastAsia="Aptos" w:hAnsi="Aptos"/>
          <w:color w:val="1E2833"/>
          <w:sz w:val="20"/>
          <w:szCs w:val="20"/>
        </w:rPr>
        <w:t xml:space="preserve">where the mentee agrees.</w:t>
      </w:r>
    </w:p>
    <w:p>
      <w:pPr>
        <w:spacing w:before="0" w:after="120" w:line="276"/>
      </w:pPr>
      <w:r>
        <w:rPr>
          <w:rFonts w:ascii="Aptos" w:cs="Aptos" w:eastAsia="Aptos" w:hAnsi="Aptos"/>
          <w:color w:val="1E2833"/>
          <w:sz w:val="20"/>
          <w:szCs w:val="20"/>
        </w:rPr>
        <w:t xml:space="preserve">The mentor tells the mentee before passing anything on. Craig Moretti receives only the session dates and the mentee's own progress summary at the mid-point and at closure.</w:t>
      </w:r>
    </w:p>
    <w:p>
      <w:pPr>
        <w:keepNext/>
        <w:spacing w:before="200" w:after="80"/>
      </w:pPr>
      <w:r>
        <w:rPr>
          <w:rFonts w:ascii="Aptos Display" w:cs="Aptos Display" w:eastAsia="Aptos Display" w:hAnsi="Aptos Display"/>
          <w:b/>
          <w:bCs/>
          <w:color w:val="4F7F80"/>
          <w:sz w:val="24"/>
          <w:szCs w:val="24"/>
        </w:rPr>
        <w:t xml:space="preserve">4.1 Records and communication</w:t>
      </w:r>
    </w:p>
    <w:p>
      <w:pPr>
        <w:pStyle w:val="ListParagraph"/>
        <w:numPr>
          <w:ilvl w:val="0"/>
          <w:numId w:val="2"/>
        </w:numPr>
        <w:spacing w:after="60" w:line="264"/>
      </w:pPr>
      <w:r>
        <w:rPr>
          <w:rFonts w:ascii="Aptos" w:cs="Aptos" w:eastAsia="Aptos" w:hAnsi="Aptos"/>
          <w:color w:val="1E2833"/>
          <w:sz w:val="20"/>
          <w:szCs w:val="20"/>
        </w:rPr>
        <w:t xml:space="preserve">Mentoring records are personal information under SRL-CR-018.</w:t>
      </w:r>
    </w:p>
    <w:p>
      <w:pPr>
        <w:pStyle w:val="ListParagraph"/>
        <w:numPr>
          <w:ilvl w:val="0"/>
          <w:numId w:val="2"/>
        </w:numPr>
        <w:spacing w:after="60" w:line="264"/>
      </w:pPr>
      <w:r>
        <w:rPr>
          <w:rFonts w:ascii="Aptos" w:cs="Aptos" w:eastAsia="Aptos" w:hAnsi="Aptos"/>
          <w:color w:val="1E2833"/>
          <w:sz w:val="20"/>
          <w:szCs w:val="20"/>
        </w:rPr>
        <w:t xml:space="preserve">They are kept in the restricted Academy mentoring folder, seen only by the mentor, the mentee and Craig Moretti on request, and kept for 2 years after closure, then disposed of securely.</w:t>
      </w:r>
    </w:p>
    <w:p>
      <w:pPr>
        <w:pStyle w:val="ListParagraph"/>
        <w:numPr>
          <w:ilvl w:val="0"/>
          <w:numId w:val="2"/>
        </w:numPr>
        <w:spacing w:after="60" w:line="264"/>
      </w:pPr>
      <w:r>
        <w:rPr>
          <w:rFonts w:ascii="Aptos" w:cs="Aptos" w:eastAsia="Aptos" w:hAnsi="Aptos"/>
          <w:color w:val="1E2833"/>
          <w:sz w:val="20"/>
          <w:szCs w:val="20"/>
        </w:rPr>
        <w:t xml:space="preserve">Work messages by Teams or work email only. Personal messaging apps are not used for mentoring.</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Structure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w:t>
            </w:r>
          </w:p>
        </w:tc>
        <w:tc>
          <w:tcPr>
            <w:tcW w:type="dxa" w:w="7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happens</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Weeks 1 to 2</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Initial meeting and plan agreed (SRA-RTO-049 Part A). Session dates sent to Craig Moretti</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Every two weeks</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Sessions of 30 to 60 minutes, off the floor (for example the admin building meeting room)</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About week 6</w:t>
            </w:r>
          </w:p>
        </w:tc>
        <w:tc>
          <w:tcPr>
            <w:tcW w:type="dxa" w:w="7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15-minute three-way check-in with Craig Moretti: the program, the schedule and the mentee's own progress summary</w:t>
            </w:r>
          </w:p>
        </w:tc>
      </w:tr>
      <w:tr>
        <w:trPr>
          <w:cantSplit/>
        </w:trPr>
        <w:tc>
          <w:tcPr>
            <w:tcW w:type="dxa" w:w="2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Week 12</w:t>
            </w:r>
          </w:p>
        </w:tc>
        <w:tc>
          <w:tcPr>
            <w:tcW w:type="dxa" w:w="7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Closure meeting (section 8)</w:t>
            </w:r>
          </w:p>
        </w:tc>
      </w:tr>
    </w:tbl>
    <w:p>
      <w:pPr>
        <w:spacing w:before="120" w:after="120" w:line="276"/>
      </w:pPr>
      <w:r>
        <w:rPr>
          <w:rFonts w:ascii="Aptos" w:cs="Aptos" w:eastAsia="Aptos" w:hAnsi="Aptos"/>
          <w:color w:val="1E2833"/>
          <w:sz w:val="20"/>
          <w:szCs w:val="20"/>
        </w:rPr>
        <w:t xml:space="preserve">12 weeks. Sessions are booked through Ivy Chua and planned around the mentee's shifts, delivery dates and the release roster.</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Session format</w:t>
      </w:r>
    </w:p>
    <w:p>
      <w:pPr>
        <w:pStyle w:val="ListParagraph"/>
        <w:numPr>
          <w:ilvl w:val="0"/>
          <w:numId w:val="3"/>
        </w:numPr>
        <w:spacing w:after="60" w:line="264"/>
      </w:pPr>
      <w:r>
        <w:rPr>
          <w:rFonts w:ascii="Aptos" w:cs="Aptos" w:eastAsia="Aptos" w:hAnsi="Aptos"/>
          <w:color w:val="1E2833"/>
          <w:sz w:val="20"/>
          <w:szCs w:val="20"/>
        </w:rPr>
        <w:t xml:space="preserve">Check-in.</w:t>
      </w:r>
    </w:p>
    <w:p>
      <w:pPr>
        <w:pStyle w:val="ListParagraph"/>
        <w:numPr>
          <w:ilvl w:val="0"/>
          <w:numId w:val="3"/>
        </w:numPr>
        <w:spacing w:after="60" w:line="264"/>
      </w:pPr>
      <w:r>
        <w:rPr>
          <w:rFonts w:ascii="Aptos" w:cs="Aptos" w:eastAsia="Aptos" w:hAnsi="Aptos"/>
          <w:color w:val="1E2833"/>
          <w:sz w:val="20"/>
          <w:szCs w:val="20"/>
        </w:rPr>
        <w:t xml:space="preserve">Review actions from the last session.</w:t>
      </w:r>
    </w:p>
    <w:p>
      <w:pPr>
        <w:pStyle w:val="ListParagraph"/>
        <w:numPr>
          <w:ilvl w:val="0"/>
          <w:numId w:val="3"/>
        </w:numPr>
        <w:spacing w:after="60" w:line="264"/>
      </w:pPr>
      <w:r>
        <w:rPr>
          <w:rFonts w:ascii="Aptos" w:cs="Aptos" w:eastAsia="Aptos" w:hAnsi="Aptos"/>
          <w:color w:val="1E2833"/>
          <w:sz w:val="20"/>
          <w:szCs w:val="20"/>
        </w:rPr>
        <w:t xml:space="preserve">Mentee's agenda first.</w:t>
      </w:r>
    </w:p>
    <w:p>
      <w:pPr>
        <w:pStyle w:val="ListParagraph"/>
        <w:numPr>
          <w:ilvl w:val="0"/>
          <w:numId w:val="3"/>
        </w:numPr>
        <w:spacing w:after="60" w:line="264"/>
      </w:pPr>
      <w:r>
        <w:rPr>
          <w:rFonts w:ascii="Aptos" w:cs="Aptos" w:eastAsia="Aptos" w:hAnsi="Aptos"/>
          <w:color w:val="1E2833"/>
          <w:sz w:val="20"/>
          <w:szCs w:val="20"/>
        </w:rPr>
        <w:t xml:space="preserve">Share, question and problem-solve.</w:t>
      </w:r>
    </w:p>
    <w:p>
      <w:pPr>
        <w:pStyle w:val="ListParagraph"/>
        <w:numPr>
          <w:ilvl w:val="0"/>
          <w:numId w:val="3"/>
        </w:numPr>
        <w:spacing w:after="60" w:line="264"/>
      </w:pPr>
      <w:r>
        <w:rPr>
          <w:rFonts w:ascii="Aptos" w:cs="Aptos" w:eastAsia="Aptos" w:hAnsi="Aptos"/>
          <w:color w:val="1E2833"/>
          <w:sz w:val="20"/>
          <w:szCs w:val="20"/>
        </w:rPr>
        <w:t xml:space="preserve">Agree actions (who, by when).</w:t>
      </w:r>
    </w:p>
    <w:p>
      <w:pPr>
        <w:pStyle w:val="ListParagraph"/>
        <w:numPr>
          <w:ilvl w:val="0"/>
          <w:numId w:val="3"/>
        </w:numPr>
        <w:spacing w:after="60" w:line="264"/>
      </w:pPr>
      <w:r>
        <w:rPr>
          <w:rFonts w:ascii="Aptos" w:cs="Aptos" w:eastAsia="Aptos" w:hAnsi="Aptos"/>
          <w:color w:val="1E2833"/>
          <w:sz w:val="20"/>
          <w:szCs w:val="20"/>
        </w:rPr>
        <w:t xml:space="preserve">Feedback both ways.</w:t>
      </w:r>
    </w:p>
    <w:p>
      <w:pPr>
        <w:spacing w:before="0" w:after="120" w:line="276"/>
      </w:pPr>
      <w:r>
        <w:rPr>
          <w:rFonts w:ascii="Aptos" w:cs="Aptos" w:eastAsia="Aptos" w:hAnsi="Aptos"/>
          <w:color w:val="1E2833"/>
          <w:sz w:val="20"/>
          <w:szCs w:val="20"/>
        </w:rPr>
        <w:t xml:space="preserve">Session record (SRA-RTO-049 Part B) completed within 2 business days and signed by both.</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Changes and difficulties</w:t>
      </w:r>
    </w:p>
    <w:p>
      <w:pPr>
        <w:pStyle w:val="ListParagraph"/>
        <w:numPr>
          <w:ilvl w:val="0"/>
          <w:numId w:val="2"/>
        </w:numPr>
        <w:spacing w:after="60" w:line="264"/>
      </w:pPr>
      <w:r>
        <w:rPr>
          <w:rFonts w:ascii="Aptos" w:cs="Aptos" w:eastAsia="Aptos" w:hAnsi="Aptos"/>
          <w:color w:val="1E2833"/>
          <w:sz w:val="20"/>
          <w:szCs w:val="20"/>
        </w:rPr>
        <w:t xml:space="preserve">Either person can raise a change (to goals, schedule or the relationship) at any time. Changes that affect the plan are discussed with Craig Moretti.</w:t>
      </w:r>
    </w:p>
    <w:p>
      <w:pPr>
        <w:pStyle w:val="ListParagraph"/>
        <w:numPr>
          <w:ilvl w:val="0"/>
          <w:numId w:val="2"/>
        </w:numPr>
        <w:spacing w:after="60" w:line="264"/>
      </w:pPr>
      <w:r>
        <w:rPr>
          <w:rFonts w:ascii="Aptos" w:cs="Aptos" w:eastAsia="Aptos" w:hAnsi="Aptos"/>
          <w:color w:val="1E2833"/>
          <w:sz w:val="20"/>
          <w:szCs w:val="20"/>
        </w:rPr>
        <w:t xml:space="preserve">If mentor and mentee cannot resolve a difference between themselves, they ask Craig Moretti for help; the mentor or mentee may also go to Gemma Whitfield.</w:t>
      </w:r>
    </w:p>
    <w:p>
      <w:pPr>
        <w:pStyle w:val="ListParagraph"/>
        <w:numPr>
          <w:ilvl w:val="0"/>
          <w:numId w:val="2"/>
        </w:numPr>
        <w:spacing w:after="60" w:line="264"/>
      </w:pPr>
      <w:r>
        <w:rPr>
          <w:rFonts w:ascii="Aptos" w:cs="Aptos" w:eastAsia="Aptos" w:hAnsi="Aptos"/>
          <w:color w:val="1E2833"/>
          <w:sz w:val="20"/>
          <w:szCs w:val="20"/>
        </w:rPr>
        <w:t xml:space="preserve">Either can end the arrangement without blame; Craig arranges a new mentor if needed.</w:t>
      </w:r>
    </w:p>
    <w:p>
      <w:pPr>
        <w:pStyle w:val="ListParagraph"/>
        <w:numPr>
          <w:ilvl w:val="0"/>
          <w:numId w:val="2"/>
        </w:numPr>
        <w:spacing w:after="60" w:line="264"/>
      </w:pPr>
      <w:r>
        <w:rPr>
          <w:rFonts w:ascii="Aptos" w:cs="Aptos" w:eastAsia="Aptos" w:hAnsi="Aptos"/>
          <w:color w:val="1E2833"/>
          <w:sz w:val="20"/>
          <w:szCs w:val="20"/>
        </w:rPr>
        <w:t xml:space="preserve">Conduct matters go through SRL-CR-040 Grievance Procedure or SRL-CR-023 Speak Up and Whistleblower Protection Policy. Personal matters are referred to the EAP (SRL-CR-053).</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8. Review and closure</w:t>
      </w:r>
    </w:p>
    <w:p>
      <w:pPr>
        <w:pStyle w:val="ListParagraph"/>
        <w:numPr>
          <w:ilvl w:val="0"/>
          <w:numId w:val="2"/>
        </w:numPr>
        <w:spacing w:after="60" w:line="264"/>
      </w:pPr>
      <w:r>
        <w:rPr>
          <w:rFonts w:ascii="Aptos" w:cs="Aptos" w:eastAsia="Aptos" w:hAnsi="Aptos"/>
          <w:color w:val="1E2833"/>
          <w:sz w:val="20"/>
          <w:szCs w:val="20"/>
        </w:rPr>
        <w:t xml:space="preserve">Closure meeting: review against objectives, recognise progress, agree what happens next and any future contact.</w:t>
      </w:r>
    </w:p>
    <w:p>
      <w:pPr>
        <w:pStyle w:val="ListParagraph"/>
        <w:numPr>
          <w:ilvl w:val="0"/>
          <w:numId w:val="2"/>
        </w:numPr>
        <w:spacing w:after="60" w:line="264"/>
      </w:pPr>
      <w:r>
        <w:rPr>
          <w:rFonts w:ascii="Aptos" w:cs="Aptos" w:eastAsia="Aptos" w:hAnsi="Aptos"/>
          <w:color w:val="1E2833"/>
          <w:sz w:val="20"/>
          <w:szCs w:val="20"/>
        </w:rPr>
        <w:t xml:space="preserve">Mentee feedback form (SRA-RTO-049).</w:t>
      </w:r>
    </w:p>
    <w:p>
      <w:pPr>
        <w:pStyle w:val="ListParagraph"/>
        <w:numPr>
          <w:ilvl w:val="0"/>
          <w:numId w:val="2"/>
        </w:numPr>
        <w:spacing w:after="60" w:line="264"/>
      </w:pPr>
      <w:r>
        <w:rPr>
          <w:rFonts w:ascii="Aptos" w:cs="Aptos" w:eastAsia="Aptos" w:hAnsi="Aptos"/>
          <w:color w:val="1E2833"/>
          <w:sz w:val="20"/>
          <w:szCs w:val="20"/>
        </w:rPr>
        <w:t xml:space="preserve">Mentor writes a short outcomes report to Craig Moretti within 10 business days, with suggestions to improve the program.</w:t>
      </w:r>
    </w:p>
    <w:p>
      <w:pPr>
        <w:pStyle w:val="ListParagraph"/>
        <w:numPr>
          <w:ilvl w:val="0"/>
          <w:numId w:val="2"/>
        </w:numPr>
        <w:spacing w:after="60" w:line="264"/>
      </w:pPr>
      <w:r>
        <w:rPr>
          <w:rFonts w:ascii="Aptos" w:cs="Aptos" w:eastAsia="Aptos" w:hAnsi="Aptos"/>
          <w:color w:val="1E2833"/>
          <w:sz w:val="20"/>
          <w:szCs w:val="20"/>
        </w:rPr>
        <w:t xml:space="preserve">Craig reports to the Quality Committee for the continuous improvement register (SRA-RTO-002).</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9. Related documents and Standards</w:t>
      </w:r>
    </w:p>
    <w:p>
      <w:pPr>
        <w:pStyle w:val="ListParagraph"/>
        <w:numPr>
          <w:ilvl w:val="0"/>
          <w:numId w:val="2"/>
        </w:numPr>
        <w:spacing w:after="60" w:line="264"/>
      </w:pPr>
      <w:r>
        <w:rPr>
          <w:rFonts w:ascii="Aptos" w:cs="Aptos" w:eastAsia="Aptos" w:hAnsi="Aptos"/>
          <w:color w:val="1E2833"/>
          <w:sz w:val="20"/>
          <w:szCs w:val="20"/>
        </w:rPr>
        <w:t xml:space="preserve">SRA-RTO-003 Assessment Policy and Procedure (section 3, direction); SRA-RTO-009 Trainer and Assessor Credentials, Currency and Professional Development Policy</w:t>
      </w:r>
    </w:p>
    <w:p>
      <w:pPr>
        <w:pStyle w:val="ListParagraph"/>
        <w:numPr>
          <w:ilvl w:val="0"/>
          <w:numId w:val="2"/>
        </w:numPr>
        <w:spacing w:after="60" w:line="264"/>
      </w:pPr>
      <w:r>
        <w:rPr>
          <w:rFonts w:ascii="Aptos" w:cs="Aptos" w:eastAsia="Aptos" w:hAnsi="Aptos"/>
          <w:color w:val="1E2833"/>
          <w:sz w:val="20"/>
          <w:szCs w:val="20"/>
        </w:rPr>
        <w:t xml:space="preserve">SRA-RTO-041 Trainer and Assessor Credentials Matrix; SRA-RTO-043 Professional Development Plan Template and PD Record Extract; SRA-RTO-049 Mentoring Plan and Session Record Template</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 SRL-CR-020 Code of Conduct; SRL-CR-023 Speak Up and Whistleblower Protection Policy; SRL-CR-040 Grievance Procedure; SRL-CR-053 Employee Assistance Program and Wellbeing Support Procedure</w:t>
      </w:r>
    </w:p>
    <w:p>
      <w:pPr>
        <w:pStyle w:val="ListParagraph"/>
        <w:numPr>
          <w:ilvl w:val="0"/>
          <w:numId w:val="2"/>
        </w:numPr>
        <w:spacing w:after="60" w:line="264"/>
      </w:pPr>
      <w:r>
        <w:rPr>
          <w:rFonts w:ascii="Aptos" w:cs="Aptos" w:eastAsia="Aptos" w:hAnsi="Aptos"/>
          <w:color w:val="1E2833"/>
          <w:sz w:val="20"/>
          <w:szCs w:val="20"/>
        </w:rPr>
        <w:t xml:space="preserve">Standards 3.1 to 3.3 (VET workforce); Standard 3.2(2)(b) (people working under direction); Credential Policy 1C, 1D and 1E; Privacy Act 1988</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ahead of a new trainer joining the Academy in June 2026.</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SRA-RTO-048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SRA-RTO-048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SRA-RTO-048  ·  Mentoring Program Guide for New Trainers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SRA-RTO-048 Mentoring Program Guide for New Trainers</dc:title>
  <dc:creator>SteelRiver Logistics Pty Ltd trading as SteelRiver Academy</dc:creator>
  <cp:lastModifiedBy>Un-named</cp:lastModifiedBy>
  <cp:revision>1</cp:revision>
  <dcterms:created xsi:type="dcterms:W3CDTF">2026-11-01T14:49:48.909Z</dcterms:created>
  <dcterms:modified xsi:type="dcterms:W3CDTF">2026-11-01T14:49:48.909Z</dcterms:modified>
</cp:coreProperties>
</file>

<file path=docProps/custom.xml><?xml version="1.0" encoding="utf-8"?>
<Properties xmlns="http://schemas.openxmlformats.org/officeDocument/2006/custom-properties" xmlns:vt="http://schemas.openxmlformats.org/officeDocument/2006/docPropsVTypes"/>
</file>