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POLICY</w:t>
            </w:r>
          </w:p>
          <w:p>
            <w:pPr>
              <w:spacing w:after="0"/>
              <w:jc w:val="right"/>
            </w:pPr>
            <w:r>
              <w:rPr>
                <w:rFonts w:ascii="Aptos Display" w:cs="Aptos Display" w:eastAsia="Aptos Display" w:hAnsi="Aptos Display"/>
                <w:b/>
                <w:bCs/>
                <w:color w:val="013056"/>
                <w:sz w:val="36"/>
                <w:szCs w:val="36"/>
              </w:rPr>
              <w:t xml:space="preserve">SRL-CR-010</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Work Health and Safety Policy</w:t>
      </w:r>
    </w:p>
    <w:p>
      <w:pPr>
        <w:spacing w:before="0" w:after="160" w:line="276"/>
      </w:pPr>
      <w:r>
        <w:rPr>
          <w:rFonts w:ascii="Aptos" w:cs="Aptos" w:eastAsia="Aptos" w:hAnsi="Aptos"/>
          <w:color w:val="5E7C99"/>
          <w:sz w:val="24"/>
          <w:szCs w:val="24"/>
        </w:rPr>
        <w:t xml:space="preserve">Our commitment to the health and safety of everyone affected by our work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SRL-CR-010</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3.0</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March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March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 vehicles, workers and activities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Policy statement</w:t>
      </w:r>
    </w:p>
    <w:p>
      <w:pPr>
        <w:spacing w:before="0" w:after="120" w:line="276"/>
      </w:pPr>
      <w:r>
        <w:rPr>
          <w:rFonts w:ascii="Aptos" w:cs="Aptos" w:eastAsia="Aptos" w:hAnsi="Aptos"/>
          <w:color w:val="1E2833"/>
          <w:sz w:val="20"/>
          <w:szCs w:val="20"/>
        </w:rPr>
        <w:t xml:space="preserve">SteelRiver Logistics Pty Ltd (SteelRiver) is committed to providing a safe and healthy working environment for everyone who works for us or is affected by our work: employees, casual and labour hire workers, contractors and their workers, line haul subcontractors, customers' drivers, visitors and members of the public. Safety is non-negotiable. Nothing we do is worth doing in a way that harms someone's physical or psychological health.</w:t>
      </w:r>
    </w:p>
    <w:p>
      <w:pPr>
        <w:spacing w:before="0" w:after="120" w:line="276"/>
      </w:pPr>
      <w:r>
        <w:rPr>
          <w:rFonts w:ascii="Aptos" w:cs="Aptos" w:eastAsia="Aptos" w:hAnsi="Aptos"/>
          <w:color w:val="1E2833"/>
          <w:sz w:val="20"/>
          <w:szCs w:val="20"/>
        </w:rPr>
        <w:t xml:space="preserve">This policy is endorsed by the Chief Executive Officer and applies to every SteelRiver site, vehicle and activity, including work done by SteelRiver workers at customer premises. It is given effect by the SteelRiver WHS management system (WHSMS) and the procedures that support it.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Our commitments</w:t>
      </w:r>
    </w:p>
    <w:p>
      <w:pPr>
        <w:spacing w:before="0" w:after="120" w:line="276"/>
      </w:pPr>
      <w:r>
        <w:rPr>
          <w:rFonts w:ascii="Aptos" w:cs="Aptos" w:eastAsia="Aptos" w:hAnsi="Aptos"/>
          <w:color w:val="1E2833"/>
          <w:sz w:val="20"/>
          <w:szCs w:val="20"/>
        </w:rPr>
        <w:t xml:space="preserve">SteelRiver will:</w:t>
      </w:r>
    </w:p>
    <w:p>
      <w:pPr>
        <w:pStyle w:val="ListParagraph"/>
        <w:numPr>
          <w:ilvl w:val="0"/>
          <w:numId w:val="2"/>
        </w:numPr>
        <w:spacing w:after="60" w:line="264"/>
      </w:pPr>
      <w:r>
        <w:rPr>
          <w:rFonts w:ascii="Aptos" w:cs="Aptos" w:eastAsia="Aptos" w:hAnsi="Aptos"/>
          <w:color w:val="1E2833"/>
          <w:sz w:val="20"/>
          <w:szCs w:val="20"/>
        </w:rPr>
        <w:t xml:space="preserve">comply with the Work Health and Safety Act 2020 (WA), the Work Health and Safety (General) Regulations 2022 (WA), the Dangerous Goods Safety Act 2004 (WA) and its regulations, and the codes of practice that apply at Perth DC and head office, and with the Work Health and Safety Act 2011 (Qld) and the Work Health and Safety Act 2011 (NSW) and their regulations and codes at Brisbane DC and Newcastle DC</w:t>
      </w:r>
    </w:p>
    <w:p>
      <w:pPr>
        <w:pStyle w:val="ListParagraph"/>
        <w:numPr>
          <w:ilvl w:val="0"/>
          <w:numId w:val="2"/>
        </w:numPr>
        <w:spacing w:after="60" w:line="264"/>
      </w:pPr>
      <w:r>
        <w:rPr>
          <w:rFonts w:ascii="Aptos" w:cs="Aptos" w:eastAsia="Aptos" w:hAnsi="Aptos"/>
          <w:color w:val="1E2833"/>
          <w:sz w:val="20"/>
          <w:szCs w:val="20"/>
        </w:rPr>
        <w:t xml:space="preserve">establish, implement and maintain a WHS management system aligned to AS/NZS ISO 45001:2018</w:t>
      </w:r>
    </w:p>
    <w:p>
      <w:pPr>
        <w:pStyle w:val="ListParagraph"/>
        <w:numPr>
          <w:ilvl w:val="0"/>
          <w:numId w:val="2"/>
        </w:numPr>
        <w:spacing w:after="60" w:line="264"/>
      </w:pPr>
      <w:r>
        <w:rPr>
          <w:rFonts w:ascii="Aptos" w:cs="Aptos" w:eastAsia="Aptos" w:hAnsi="Aptos"/>
          <w:color w:val="1E2833"/>
          <w:sz w:val="20"/>
          <w:szCs w:val="20"/>
        </w:rPr>
        <w:t xml:space="preserve">eliminate risks to health and safety so far as is reasonably practicable and, where a risk cannot be eliminated, minimise it using the hierarchy of control in regulation 36 of the WHS (General) Regulations 2022 (WA) and its equivalents in Queensland and NSW</w:t>
      </w:r>
    </w:p>
    <w:p>
      <w:pPr>
        <w:pStyle w:val="ListParagraph"/>
        <w:numPr>
          <w:ilvl w:val="0"/>
          <w:numId w:val="2"/>
        </w:numPr>
        <w:spacing w:after="60" w:line="264"/>
      </w:pPr>
      <w:r>
        <w:rPr>
          <w:rFonts w:ascii="Aptos" w:cs="Aptos" w:eastAsia="Aptos" w:hAnsi="Aptos"/>
          <w:color w:val="1E2833"/>
          <w:sz w:val="20"/>
          <w:szCs w:val="20"/>
        </w:rPr>
        <w:t xml:space="preserve">identify, assess and control psychosocial hazards, such as high job demands, fatigue, poor support, conflict and aggression from other people, with the same care as physical hazards such as mobile plant, manual handling and hazardous chemicals</w:t>
      </w:r>
    </w:p>
    <w:p>
      <w:pPr>
        <w:pStyle w:val="ListParagraph"/>
        <w:numPr>
          <w:ilvl w:val="0"/>
          <w:numId w:val="2"/>
        </w:numPr>
        <w:spacing w:after="60" w:line="264"/>
      </w:pPr>
      <w:r>
        <w:rPr>
          <w:rFonts w:ascii="Aptos" w:cs="Aptos" w:eastAsia="Aptos" w:hAnsi="Aptos"/>
          <w:color w:val="1E2833"/>
          <w:sz w:val="20"/>
          <w:szCs w:val="20"/>
        </w:rPr>
        <w:t xml:space="preserve">consult workers and Health and Safety Representatives (HSRs) on matters that affect their health and safety, as required by sections 47 to 49 of the WHS Act</w:t>
      </w:r>
    </w:p>
    <w:p>
      <w:pPr>
        <w:pStyle w:val="ListParagraph"/>
        <w:numPr>
          <w:ilvl w:val="0"/>
          <w:numId w:val="2"/>
        </w:numPr>
        <w:spacing w:after="60" w:line="264"/>
      </w:pPr>
      <w:r>
        <w:rPr>
          <w:rFonts w:ascii="Aptos" w:cs="Aptos" w:eastAsia="Aptos" w:hAnsi="Aptos"/>
          <w:color w:val="1E2833"/>
          <w:sz w:val="20"/>
          <w:szCs w:val="20"/>
        </w:rPr>
        <w:t xml:space="preserve">consult, cooperate and coordinate with contractors, labour hire providers, line haul subcontractors and customers who share WHS duties with us (section 46 of the WHS Act)</w:t>
      </w:r>
    </w:p>
    <w:p>
      <w:pPr>
        <w:pStyle w:val="ListParagraph"/>
        <w:numPr>
          <w:ilvl w:val="0"/>
          <w:numId w:val="2"/>
        </w:numPr>
        <w:spacing w:after="60" w:line="264"/>
      </w:pPr>
      <w:r>
        <w:rPr>
          <w:rFonts w:ascii="Aptos" w:cs="Aptos" w:eastAsia="Aptos" w:hAnsi="Aptos"/>
          <w:color w:val="1E2833"/>
          <w:sz w:val="20"/>
          <w:szCs w:val="20"/>
        </w:rPr>
        <w:t xml:space="preserve">provide the information, training, instruction and supervision workers need to do their work safely, including induction before a worker's first shift and current high risk work licences for anyone operating forklifts</w:t>
      </w:r>
    </w:p>
    <w:p>
      <w:pPr>
        <w:pStyle w:val="ListParagraph"/>
        <w:numPr>
          <w:ilvl w:val="0"/>
          <w:numId w:val="2"/>
        </w:numPr>
        <w:spacing w:after="60" w:line="264"/>
      </w:pPr>
      <w:r>
        <w:rPr>
          <w:rFonts w:ascii="Aptos" w:cs="Aptos" w:eastAsia="Aptos" w:hAnsi="Aptos"/>
          <w:color w:val="1E2833"/>
          <w:sz w:val="20"/>
          <w:szCs w:val="20"/>
        </w:rPr>
        <w:t xml:space="preserve">prepare for emergencies and test our emergency arrangements</w:t>
      </w:r>
    </w:p>
    <w:p>
      <w:pPr>
        <w:pStyle w:val="ListParagraph"/>
        <w:numPr>
          <w:ilvl w:val="0"/>
          <w:numId w:val="2"/>
        </w:numPr>
        <w:spacing w:after="60" w:line="264"/>
      </w:pPr>
      <w:r>
        <w:rPr>
          <w:rFonts w:ascii="Aptos" w:cs="Aptos" w:eastAsia="Aptos" w:hAnsi="Aptos"/>
          <w:color w:val="1E2833"/>
          <w:sz w:val="20"/>
          <w:szCs w:val="20"/>
        </w:rPr>
        <w:t xml:space="preserve">report and investigate incidents, near misses and hazards, act on the findings and tell the people affected what we found</w:t>
      </w:r>
    </w:p>
    <w:p>
      <w:pPr>
        <w:pStyle w:val="ListParagraph"/>
        <w:numPr>
          <w:ilvl w:val="0"/>
          <w:numId w:val="2"/>
        </w:numPr>
        <w:spacing w:after="60" w:line="264"/>
      </w:pPr>
      <w:r>
        <w:rPr>
          <w:rFonts w:ascii="Aptos" w:cs="Aptos" w:eastAsia="Aptos" w:hAnsi="Aptos"/>
          <w:color w:val="1E2833"/>
          <w:sz w:val="20"/>
          <w:szCs w:val="20"/>
        </w:rPr>
        <w:t xml:space="preserve">set measurable WHS objectives each year (SRL-CR-012), measure our performance with lead and lag indicators and use the results to improve</w:t>
      </w:r>
    </w:p>
    <w:p>
      <w:pPr>
        <w:pStyle w:val="ListParagraph"/>
        <w:numPr>
          <w:ilvl w:val="0"/>
          <w:numId w:val="2"/>
        </w:numPr>
        <w:spacing w:after="60" w:line="264"/>
      </w:pPr>
      <w:r>
        <w:rPr>
          <w:rFonts w:ascii="Aptos" w:cs="Aptos" w:eastAsia="Aptos" w:hAnsi="Aptos"/>
          <w:color w:val="1E2833"/>
          <w:sz w:val="20"/>
          <w:szCs w:val="20"/>
        </w:rPr>
        <w:t xml:space="preserve">provide the financial, human and operational resources needed to give effect to this policy.</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Duty holders</w:t>
      </w:r>
    </w:p>
    <w:p>
      <w:pPr>
        <w:spacing w:before="0" w:after="120" w:line="276"/>
      </w:pPr>
      <w:r>
        <w:rPr>
          <w:rFonts w:ascii="Aptos" w:cs="Aptos" w:eastAsia="Aptos" w:hAnsi="Aptos"/>
          <w:color w:val="1E2833"/>
          <w:sz w:val="20"/>
          <w:szCs w:val="20"/>
        </w:rPr>
        <w:t xml:space="preserve">This policy gives effect to the duties of every duty holder under the WHS Act. The section numbers below are those of the Work Health and Safety Act 2020 (WA); the Queensland and NSW Acts contain the same duties.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3200"/>
        <w:gridCol w:w="4052"/>
      </w:tblGrid>
      <w:tr>
        <w:trPr>
          <w:cantSplit/>
          <w:tblHeader/>
        </w:trPr>
        <w:tc>
          <w:tcPr>
            <w:tcW w:type="dxa" w:w="25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Duty holder</w:t>
            </w:r>
          </w:p>
        </w:tc>
        <w:tc>
          <w:tcPr>
            <w:tcW w:type="dxa" w:w="3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 this is at SteelRiver</w:t>
            </w:r>
          </w:p>
        </w:tc>
        <w:tc>
          <w:tcPr>
            <w:tcW w:type="dxa" w:w="40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Duty</w:t>
            </w:r>
          </w:p>
        </w:tc>
      </w:tr>
      <w:tr>
        <w:trPr>
          <w:cantSplit/>
        </w:trPr>
        <w:tc>
          <w:tcPr>
            <w:tcW w:type="dxa" w:w="25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Person conducting a business or undertaking (PCBU), s.19</w:t>
            </w:r>
          </w:p>
        </w:tc>
        <w:tc>
          <w:tcPr>
            <w:tcW w:type="dxa" w:w="3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SteelRiver Logistics Pty Ltd</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primary duty of care: to ensure, so far as is reasonably practicable, the health and safety of workers and other people affected by the business. This duty cannot be transferred or contracted out.</w:t>
            </w:r>
          </w:p>
        </w:tc>
      </w:tr>
      <w:tr>
        <w:trPr>
          <w:cantSplit/>
        </w:trPr>
        <w:tc>
          <w:tcPr>
            <w:tcW w:type="dxa" w:w="25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Officers, s.27</w:t>
            </w:r>
          </w:p>
        </w:tc>
        <w:tc>
          <w:tcPr>
            <w:tcW w:type="dxa" w:w="3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Members of the Board; the Chief Executive Officer; the Chief Financial Officer; the Operations Director; the National WHS Manager; the Head of People and Culture; the Chief Customer Officer</w:t>
            </w:r>
          </w:p>
        </w:tc>
        <w:tc>
          <w:tcPr>
            <w:tcW w:type="dxa" w:w="4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Exercise due diligence to ensure SteelRiver complies with its duties: keep up to date with WHS matters, understand our operations and their hazards and risks, make sure appropriate resources and processes are available and used, and check that they are.</w:t>
            </w:r>
          </w:p>
        </w:tc>
      </w:tr>
      <w:tr>
        <w:trPr>
          <w:cantSplit/>
        </w:trPr>
        <w:tc>
          <w:tcPr>
            <w:tcW w:type="dxa" w:w="25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Workers, s.28</w:t>
            </w:r>
          </w:p>
        </w:tc>
        <w:tc>
          <w:tcPr>
            <w:tcW w:type="dxa" w:w="3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Everyone else who carries out work for SteelRiver, including DC Managers, Operations Managers, WHS Coordinators, shift supervisors, warehouse leads, HSRs, employees, casual and labour hire workers, contractors and their workers and line haul subcontractors</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Take reasonable care for their own health and safety, take reasonable care that what they do or fail to do does not harm others, comply with reasonable instructions and cooperate with reasonable WHS policies and procedures.</w:t>
            </w:r>
          </w:p>
        </w:tc>
      </w:tr>
      <w:tr>
        <w:trPr>
          <w:cantSplit/>
        </w:trPr>
        <w:tc>
          <w:tcPr>
            <w:tcW w:type="dxa" w:w="25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Other persons at the workplace, s.29</w:t>
            </w:r>
          </w:p>
        </w:tc>
        <w:tc>
          <w:tcPr>
            <w:tcW w:type="dxa" w:w="32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Visitors, customers' drivers and staff at delivery sites, members of the public</w:t>
            </w:r>
          </w:p>
        </w:tc>
        <w:tc>
          <w:tcPr>
            <w:tcW w:type="dxa" w:w="40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Take reasonable care for their own health and safety and that of others, and comply with reasonable instructions.</w:t>
            </w:r>
          </w:p>
        </w:tc>
      </w:tr>
      <w:tr>
        <w:trPr>
          <w:cantSplit/>
        </w:trPr>
        <w:tc>
          <w:tcPr>
            <w:tcW w:type="dxa" w:w="25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Other PCBUs with shared duties, s.46</w:t>
            </w:r>
          </w:p>
        </w:tc>
        <w:tc>
          <w:tcPr>
            <w:tcW w:type="dxa" w:w="32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Contractors (for example ProForce Cleaning), labour hire providers, line haul subcontractors, plant suppliers and maintainers, customers whose vehicles enter our sites</w:t>
            </w:r>
          </w:p>
        </w:tc>
        <w:tc>
          <w:tcPr>
            <w:tcW w:type="dxa" w:w="40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Consult, cooperate and coordinate with SteelRiver so far as is reasonably practicable on matters where duties overlap.</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EAF0F5"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Managers and supervisors are workers, not officers</w:t>
            </w:r>
          </w:p>
          <w:p>
            <w:pPr>
              <w:spacing w:before="0" w:after="60" w:line="276"/>
            </w:pPr>
            <w:r>
              <w:rPr>
                <w:rFonts w:ascii="Aptos" w:cs="Aptos" w:eastAsia="Aptos" w:hAnsi="Aptos"/>
                <w:color w:val="1E2833"/>
                <w:sz w:val="20"/>
                <w:szCs w:val="20"/>
              </w:rPr>
              <w:t xml:space="preserve">DC Managers, Operations Managers, shift supervisors and warehouse leads hold the worker duty under section 28. They are not officers. They also carry the responsibilities their role gives them under this policy and the WHSMS, and the authorities set out in SRL-CR-002.</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00"/>
        <w:gridCol w:w="6952"/>
      </w:tblGrid>
      <w:tr>
        <w:trPr>
          <w:cantSplit/>
          <w:tblHeader/>
        </w:trPr>
        <w:tc>
          <w:tcPr>
            <w:tcW w:type="dxa" w:w="2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9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policy</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Board and Chief Executive Officer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Set the risk appetite and WHS targets. Approve this policy and the WHS Management System Manual. Provide resources. Receive and act on WHS performance reports. The CEO is ultimately accountable for WHS performance.</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Director</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Accountable for WHS performance at all three distribution centres. Integrates WHS into operational decisions, budgets and change programs. Sponsor of the National Safety Transformation Program (from 2027).</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Owner of this policy and of the WHSMS. Gives technical WHS advice to officers and managers. Leads audit, management review and serious incident investigation. Notifies the regulator of notifiable incidents.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Head of People and Culture</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Integrates WHS with recruitment, induction, rostering, performance, injury management and wellbeing support, including psychosocial risk.</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Accountable for the WHSMS at their site. Chair the site WHS committee. Act as site emergency controller. Make sure risks are managed, workers are consulted and actions are closed.</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Operations Managers, shift supervisors and warehouse leads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Put this policy into practice on the floor: plan safe work, run pre-start toolbox talks, supervise, check induction and licences, act on hazard reports and stop unsafe work.</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Support managers and supervisors to apply the WHSMS. Maintain the site risk register in MyOSH. Coordinate consultation. Lead routine incident investigations.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HSRs and WHS committees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Represent workers, take part in consultation and help develop WHS standards, rules and procedures.</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All workers</w:t>
            </w:r>
          </w:p>
        </w:tc>
        <w:tc>
          <w:tcPr>
            <w:tcW w:type="dxa" w:w="69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Work safely, follow procedures and instructions, report hazards, incidents and near misses straight away, and speak up. Any worker may stop work they believe is unsafe and must tell their supervisor and the WHS Coordinator.</w:t>
            </w:r>
          </w:p>
        </w:tc>
      </w:tr>
      <w:tr>
        <w:trPr>
          <w:cantSplit/>
        </w:trPr>
        <w:tc>
          <w:tcPr>
            <w:tcW w:type="dxa" w:w="28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Contractors and other PCBUs</w:t>
            </w:r>
          </w:p>
        </w:tc>
        <w:tc>
          <w:tcPr>
            <w:tcW w:type="dxa" w:w="69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Comply with SteelRiver site rules, provide safe work method statements or job safety analyses for their work, induct their workers and coordinate their work with ours.</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Consultation</w:t>
      </w:r>
    </w:p>
    <w:p>
      <w:pPr>
        <w:spacing w:before="0" w:after="120" w:line="276"/>
      </w:pPr>
      <w:r>
        <w:rPr>
          <w:rFonts w:ascii="Aptos" w:cs="Aptos" w:eastAsia="Aptos" w:hAnsi="Aptos"/>
          <w:color w:val="1E2833"/>
          <w:sz w:val="20"/>
          <w:szCs w:val="20"/>
        </w:rPr>
        <w:t xml:space="preserve">Consultation is an ongoing legal duty, not a one-off event. SteelRiver consults workers directly and through their elected HSRs, the site WHS committees and the National HSE Committee, and consults, cooperates and coordinates with other duty holders. How we do this is set out in the WHS Consultation and Participation Procedure (SRL-CR-031), the WHS Issue Resolution Procedure (SRL-CR-032) and the Consultation, Cooperation and Coordination with Other PCBUs Procedure (SRL-CR-033).</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Communication of this policy</w:t>
      </w:r>
    </w:p>
    <w:p>
      <w:pPr>
        <w:spacing w:before="0" w:after="120" w:line="276"/>
      </w:pPr>
      <w:r>
        <w:rPr>
          <w:rFonts w:ascii="Aptos" w:cs="Aptos" w:eastAsia="Aptos" w:hAnsi="Aptos"/>
          <w:color w:val="1E2833"/>
          <w:sz w:val="20"/>
          <w:szCs w:val="20"/>
        </w:rPr>
        <w:t xml:space="preserve">This policy is explained at induction, displayed on site noticeboards and published on the SteelRiver Safety Portal and the SteelRiver intranet. Contractors and labour hire providers receive it with their prequalification documents.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Review</w:t>
      </w:r>
    </w:p>
    <w:p>
      <w:pPr>
        <w:spacing w:before="0" w:after="120" w:line="276"/>
      </w:pPr>
      <w:r>
        <w:rPr>
          <w:rFonts w:ascii="Aptos" w:cs="Aptos" w:eastAsia="Aptos" w:hAnsi="Aptos"/>
          <w:color w:val="1E2833"/>
          <w:sz w:val="20"/>
          <w:szCs w:val="20"/>
        </w:rPr>
        <w:t xml:space="preserve">This policy is reviewed every 12 months, or earlier after a material change to legislation, operations or organisational structure, or after a notifiable incident. The review is led by the National WHS Manager, consults HSRs and the National HSE Committee, and is approved by the Chief Executive Officer.</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Related documents</w:t>
      </w:r>
    </w:p>
    <w:p>
      <w:pPr>
        <w:pStyle w:val="ListParagraph"/>
        <w:numPr>
          <w:ilvl w:val="0"/>
          <w:numId w:val="2"/>
        </w:numPr>
        <w:spacing w:after="60" w:line="264"/>
      </w:pPr>
      <w:r>
        <w:rPr>
          <w:rFonts w:ascii="Aptos" w:cs="Aptos" w:eastAsia="Aptos" w:hAnsi="Aptos"/>
          <w:color w:val="1E2833"/>
          <w:sz w:val="20"/>
          <w:szCs w:val="20"/>
        </w:rPr>
        <w:t xml:space="preserve">SRL-CR-002 Organisational Chart, Position Descriptions and Delegations</w:t>
      </w:r>
    </w:p>
    <w:p>
      <w:pPr>
        <w:pStyle w:val="ListParagraph"/>
        <w:numPr>
          <w:ilvl w:val="0"/>
          <w:numId w:val="2"/>
        </w:numPr>
        <w:spacing w:after="60" w:line="264"/>
      </w:pPr>
      <w:r>
        <w:rPr>
          <w:rFonts w:ascii="Aptos" w:cs="Aptos" w:eastAsia="Aptos" w:hAnsi="Aptos"/>
          <w:color w:val="1E2833"/>
          <w:sz w:val="20"/>
          <w:szCs w:val="20"/>
        </w:rPr>
        <w:t xml:space="preserve">SRL-CR-003 WHS Roles and Responsibilities Matrix (RACI)</w:t>
      </w:r>
    </w:p>
    <w:p>
      <w:pPr>
        <w:pStyle w:val="ListParagraph"/>
        <w:numPr>
          <w:ilvl w:val="0"/>
          <w:numId w:val="2"/>
        </w:numPr>
        <w:spacing w:after="60" w:line="264"/>
      </w:pPr>
      <w:r>
        <w:rPr>
          <w:rFonts w:ascii="Aptos" w:cs="Aptos" w:eastAsia="Aptos" w:hAnsi="Aptos"/>
          <w:color w:val="1E2833"/>
          <w:sz w:val="20"/>
          <w:szCs w:val="20"/>
        </w:rPr>
        <w:t xml:space="preserve">SRL-CR-011 WHS Management System Manual (in development)</w:t>
      </w:r>
    </w:p>
    <w:p>
      <w:pPr>
        <w:pStyle w:val="ListParagraph"/>
        <w:numPr>
          <w:ilvl w:val="0"/>
          <w:numId w:val="2"/>
        </w:numPr>
        <w:spacing w:after="60" w:line="264"/>
      </w:pPr>
      <w:r>
        <w:rPr>
          <w:rFonts w:ascii="Aptos" w:cs="Aptos" w:eastAsia="Aptos" w:hAnsi="Aptos"/>
          <w:color w:val="1E2833"/>
          <w:sz w:val="20"/>
          <w:szCs w:val="20"/>
        </w:rPr>
        <w:t xml:space="preserve">SRL-CR-012 WHS Management Plan (annual objectives)</w:t>
      </w:r>
    </w:p>
    <w:p>
      <w:pPr>
        <w:pStyle w:val="ListParagraph"/>
        <w:numPr>
          <w:ilvl w:val="0"/>
          <w:numId w:val="2"/>
        </w:numPr>
        <w:spacing w:after="60" w:line="264"/>
      </w:pPr>
      <w:r>
        <w:rPr>
          <w:rFonts w:ascii="Aptos" w:cs="Aptos" w:eastAsia="Aptos" w:hAnsi="Aptos"/>
          <w:color w:val="1E2833"/>
          <w:sz w:val="20"/>
          <w:szCs w:val="20"/>
        </w:rPr>
        <w:t xml:space="preserve">SRL-CR-013 Risk Management Framework (Risk Management Plan)</w:t>
      </w:r>
    </w:p>
    <w:p>
      <w:pPr>
        <w:pStyle w:val="ListParagraph"/>
        <w:numPr>
          <w:ilvl w:val="0"/>
          <w:numId w:val="2"/>
        </w:numPr>
        <w:spacing w:after="60" w:line="264"/>
      </w:pPr>
      <w:r>
        <w:rPr>
          <w:rFonts w:ascii="Aptos" w:cs="Aptos" w:eastAsia="Aptos" w:hAnsi="Aptos"/>
          <w:color w:val="1E2833"/>
          <w:sz w:val="20"/>
          <w:szCs w:val="20"/>
        </w:rPr>
        <w:t xml:space="preserve">SRL-CR-030 WHS Risk Management Procedure</w:t>
      </w:r>
    </w:p>
    <w:p>
      <w:pPr>
        <w:pStyle w:val="ListParagraph"/>
        <w:numPr>
          <w:ilvl w:val="0"/>
          <w:numId w:val="2"/>
        </w:numPr>
        <w:spacing w:after="60" w:line="264"/>
      </w:pPr>
      <w:r>
        <w:rPr>
          <w:rFonts w:ascii="Aptos" w:cs="Aptos" w:eastAsia="Aptos" w:hAnsi="Aptos"/>
          <w:color w:val="1E2833"/>
          <w:sz w:val="20"/>
          <w:szCs w:val="20"/>
        </w:rPr>
        <w:t xml:space="preserve">SRL-CR-031 WHS Consultation and Participation Procedure</w:t>
      </w:r>
    </w:p>
    <w:p>
      <w:pPr>
        <w:pStyle w:val="ListParagraph"/>
        <w:numPr>
          <w:ilvl w:val="0"/>
          <w:numId w:val="2"/>
        </w:numPr>
        <w:spacing w:after="60" w:line="264"/>
      </w:pPr>
      <w:r>
        <w:rPr>
          <w:rFonts w:ascii="Aptos" w:cs="Aptos" w:eastAsia="Aptos" w:hAnsi="Aptos"/>
          <w:color w:val="1E2833"/>
          <w:sz w:val="20"/>
          <w:szCs w:val="20"/>
        </w:rPr>
        <w:t xml:space="preserve">SRL-CR-033 Consultation, Cooperation and Coordination with Other PCBUs Procedure</w:t>
      </w:r>
    </w:p>
    <w:p>
      <w:pPr>
        <w:pStyle w:val="ListParagraph"/>
        <w:numPr>
          <w:ilvl w:val="0"/>
          <w:numId w:val="2"/>
        </w:numPr>
        <w:spacing w:after="60" w:line="264"/>
      </w:pPr>
      <w:r>
        <w:rPr>
          <w:rFonts w:ascii="Aptos" w:cs="Aptos" w:eastAsia="Aptos" w:hAnsi="Aptos"/>
          <w:color w:val="1E2833"/>
          <w:sz w:val="20"/>
          <w:szCs w:val="20"/>
        </w:rPr>
        <w:t xml:space="preserve">SRL-CR-035 Incident Reporting and Investigation Procedure</w:t>
      </w:r>
    </w:p>
    <w:p>
      <w:pPr>
        <w:pStyle w:val="ListParagraph"/>
        <w:numPr>
          <w:ilvl w:val="0"/>
          <w:numId w:val="2"/>
        </w:numPr>
        <w:spacing w:after="60" w:line="264"/>
      </w:pPr>
      <w:r>
        <w:rPr>
          <w:rFonts w:ascii="Aptos" w:cs="Aptos" w:eastAsia="Aptos" w:hAnsi="Aptos"/>
          <w:color w:val="1E2833"/>
          <w:sz w:val="20"/>
          <w:szCs w:val="20"/>
        </w:rPr>
        <w:t xml:space="preserve">SRL-CR-044 Psychosocial Hazard Management Procedure</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Approval</w:t>
      </w:r>
    </w:p>
    <w:p>
      <w:pPr>
        <w:spacing w:before="0" w:after="120" w:line="276"/>
      </w:pPr>
      <w:r>
        <w:rPr>
          <w:rFonts w:ascii="Aptos" w:cs="Aptos" w:eastAsia="Aptos" w:hAnsi="Aptos"/>
          <w:color w:val="1E2833"/>
          <w:sz w:val="20"/>
          <w:szCs w:val="20"/>
        </w:rPr>
        <w:t xml:space="preserve">This policy is approved by the Chief Executive Officer on behalf of SteelRiver Logistics Pty Ltd.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Signed</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Rajesh Iyengar, Chief Executive Officer</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Date</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1 March 2026</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Next review</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March 2027</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March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review. Commitments aligned to AS/NZS ISO 45001:2018. Psychosocial hazards named. Duty holder table added; officers list confirmed (DC Managers are workers). Regulators and laws for all three sites listed.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March 2025</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review. Commitment on contractor coordination added.</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31 March 2022</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Rewritten for the commencement of the Work Health and Safety Act 2020 (WA) and the Work Health and Safety (General) Regulations 2022 (WA).</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SRL-CR-010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SRL-CR-010 Version 3.0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SRL-CR-010  ·  Work Health and Safety Policy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SRL-CR-010 Work Health and Safety Policy</dc:title>
  <dc:creator>SteelRiver Logistics Pty Ltd</dc:creator>
  <cp:lastModifiedBy>Un-named</cp:lastModifiedBy>
  <cp:revision>1</cp:revision>
  <dcterms:created xsi:type="dcterms:W3CDTF">2026-10-28T08:26:09.485Z</dcterms:created>
  <dcterms:modified xsi:type="dcterms:W3CDTF">2026-10-28T08:26:09.485Z</dcterms:modified>
</cp:coreProperties>
</file>

<file path=docProps/custom.xml><?xml version="1.0" encoding="utf-8"?>
<Properties xmlns="http://schemas.openxmlformats.org/officeDocument/2006/custom-properties" xmlns:vt="http://schemas.openxmlformats.org/officeDocument/2006/docPropsVTypes"/>
</file>