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PLAN</w:t>
            </w:r>
          </w:p>
          <w:p>
            <w:pPr>
              <w:spacing w:after="0"/>
              <w:jc w:val="right"/>
            </w:pPr>
            <w:r>
              <w:rPr>
                <w:rFonts w:ascii="Aptos Display" w:cs="Aptos Display" w:eastAsia="Aptos Display" w:hAnsi="Aptos Display"/>
                <w:b/>
                <w:bCs/>
                <w:color w:val="013056"/>
                <w:sz w:val="36"/>
                <w:szCs w:val="36"/>
              </w:rPr>
              <w:t xml:space="preserve">SRL-CR-013</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Risk Management Framework (Risk Management Plan)</w:t>
      </w:r>
    </w:p>
    <w:p>
      <w:pPr>
        <w:spacing w:before="0" w:after="160" w:line="276"/>
      </w:pPr>
      <w:r>
        <w:rPr>
          <w:rFonts w:ascii="Aptos" w:cs="Aptos" w:eastAsia="Aptos" w:hAnsi="Aptos"/>
          <w:color w:val="5E7C99"/>
          <w:sz w:val="24"/>
          <w:szCs w:val="24"/>
        </w:rPr>
        <w:t xml:space="preserve">How SteelRiver identifies, rates, controls, escalates and reviews risk across the business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SRL-CR-013</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3.0</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March 2026</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Rajesh Iyengar, Chief Executive Officer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March 2028</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sites, functions and workers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 and scope</w:t>
      </w:r>
    </w:p>
    <w:p>
      <w:pPr>
        <w:spacing w:before="0" w:after="120" w:line="276"/>
      </w:pPr>
      <w:r>
        <w:rPr>
          <w:rFonts w:ascii="Aptos" w:cs="Aptos" w:eastAsia="Aptos" w:hAnsi="Aptos"/>
          <w:color w:val="1E2833"/>
          <w:sz w:val="20"/>
          <w:szCs w:val="20"/>
        </w:rPr>
        <w:t xml:space="preserve">This framework sets out how SteelRiver Logistics Pty Ltd (SteelRiver) manages risk. It is the company's risk management plan. It applies to every site, function and worker, and to every type of risk, so that managers make consistent, defensible decisions whether the risk is a forklift aisle, a roster change, a customer contract or a performance management process.</w:t>
      </w:r>
    </w:p>
    <w:p>
      <w:pPr>
        <w:spacing w:before="0" w:after="120" w:line="276"/>
      </w:pPr>
      <w:r>
        <w:rPr>
          <w:rFonts w:ascii="Aptos" w:cs="Aptos" w:eastAsia="Aptos" w:hAnsi="Aptos"/>
          <w:color w:val="1E2833"/>
          <w:sz w:val="20"/>
          <w:szCs w:val="20"/>
        </w:rPr>
        <w:t xml:space="preserve">The framework follows AS ISO 31000:2018 Risk management: Guidelines. For WHS risks it also gives effect to the risk management duties in Part 3.1 of the Work Health and Safety (General) Regulations 2022 (WA) at Perth DC and head office, and the equivalent Queensland and NSW regulations at Brisbane DC and Newcastle DC. WHS risk is the main focus of this framework because of the weight of the legal duty.</w:t>
      </w:r>
    </w:p>
    <w:p>
      <w:pPr>
        <w:spacing w:before="0" w:after="120" w:line="276"/>
      </w:pPr>
      <w:r>
        <w:rPr>
          <w:rFonts w:ascii="Aptos" w:cs="Aptos" w:eastAsia="Aptos" w:hAnsi="Aptos"/>
          <w:color w:val="1E2833"/>
          <w:sz w:val="20"/>
          <w:szCs w:val="20"/>
        </w:rPr>
        <w:t xml:space="preserve">The detailed WHS process (how to identify hazards, complete a risk assessment and record it) is in the WHS Risk Management Procedure (SRL-CR-030). The risk matrix and assessment template are in SRL-CR-061. This framework sets the rules those documents follow.</w:t>
      </w:r>
    </w:p>
    <w:p>
      <w:pPr>
        <w:keepNext/>
        <w:spacing w:before="200" w:after="80"/>
      </w:pPr>
      <w:r>
        <w:rPr>
          <w:rFonts w:ascii="Aptos Display" w:cs="Aptos Display" w:eastAsia="Aptos Display" w:hAnsi="Aptos Display"/>
          <w:b/>
          <w:bCs/>
          <w:color w:val="5E7C99"/>
          <w:sz w:val="24"/>
          <w:szCs w:val="24"/>
        </w:rPr>
        <w:t xml:space="preserve">1.1 The risk management process</w:t>
      </w:r>
    </w:p>
    <w:p>
      <w:pPr>
        <w:spacing w:before="0" w:after="120" w:line="276"/>
      </w:pPr>
      <w:r>
        <w:rPr>
          <w:rFonts w:ascii="Aptos" w:cs="Aptos" w:eastAsia="Aptos" w:hAnsi="Aptos"/>
          <w:color w:val="1E2833"/>
          <w:sz w:val="20"/>
          <w:szCs w:val="20"/>
        </w:rPr>
        <w:t xml:space="preserve">SteelRiver applies the AS ISO 31000:2018 process as a cycle, with communication and consultation at every step:</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Stage</w:t>
            </w:r>
          </w:p>
        </w:tc>
        <w:tc>
          <w:tcPr>
            <w:tcW w:type="dxa" w:w="7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involves at SteelRiver</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Establish the context</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site, the work, the workers (including casual, labour hire and contractor workers), the legal and contract requirements and the change under way.</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Identify</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Find hazards and risks through inspections, hazard reports, incident and near miss data, toolbox talks, consultation, job safety analysis and project planning.</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Analyse and evaluate</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Rate likelihood and consequence on the SRL 5x5 matrix (Section 5) and decide what action the rating requires (Section 4).</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Treat</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Select controls using the hierarchy of control (Section 6), assign an owner and a date, and record them.</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Monitor and review</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Check that controls are in place and working, and review the assessment when a trigger occurs (Section 8).</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Record and communicate</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Keep the assessment in the MyOSH risk register and tell the people affected.</w:t>
            </w:r>
          </w:p>
        </w:tc>
      </w:tr>
    </w:tbl>
    <w:p>
      <w:pPr>
        <w:spacing w:before="0" w:after="120" w:line="276"/>
      </w:pPr>
      <w:r>
        <w:rPr>
          <w:rFonts w:ascii="Aptos" w:cs="Aptos" w:eastAsia="Aptos" w:hAnsi="Aptos"/>
          <w:color w:val="1E2833"/>
          <w:sz w:val="20"/>
          <w:szCs w:val="20"/>
        </w:rPr>
        <w:t xml:space="preserve">For WHS risks the four steps of Part 3.1 (identify hazards, assess risks, control risks, review controls) are delivered as the five procedural stages in SRL-CR-030; the fifth stage is record and communicate.</w:t>
      </w:r>
    </w:p>
    <w:p>
      <w:pPr>
        <w:keepNext/>
        <w:spacing w:before="200" w:after="80"/>
      </w:pPr>
      <w:r>
        <w:rPr>
          <w:rFonts w:ascii="Aptos Display" w:cs="Aptos Display" w:eastAsia="Aptos Display" w:hAnsi="Aptos Display"/>
          <w:b/>
          <w:bCs/>
          <w:color w:val="5E7C99"/>
          <w:sz w:val="24"/>
          <w:szCs w:val="24"/>
        </w:rPr>
        <w:t xml:space="preserve">1.2 Risk appetite</w:t>
      </w:r>
    </w:p>
    <w:p>
      <w:pPr>
        <w:spacing w:before="0" w:after="120" w:line="276"/>
      </w:pPr>
      <w:r>
        <w:rPr>
          <w:rFonts w:ascii="Aptos" w:cs="Aptos" w:eastAsia="Aptos" w:hAnsi="Aptos"/>
          <w:color w:val="1E2833"/>
          <w:sz w:val="20"/>
          <w:szCs w:val="20"/>
        </w:rPr>
        <w:t xml:space="preserve">SteelRiver's appetite for WHS risk is conservative. The Board has set three WHS targets: zero fatalities, a lost time injury frequency rate (LTIFR) below 2.0 per million hours worked, and a falling total recordable injury frequency rate (TRIFR) year on year. For other risk categories, managers accept risk only within their delegations in SRL-CR-002 and escalate anything rated High or Extreme under Section 4.</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Risk categories</w:t>
      </w:r>
    </w:p>
    <w:p>
      <w:pPr>
        <w:spacing w:before="0" w:after="120" w:line="276"/>
      </w:pPr>
      <w:r>
        <w:rPr>
          <w:rFonts w:ascii="Aptos" w:cs="Aptos" w:eastAsia="Aptos" w:hAnsi="Aptos"/>
          <w:color w:val="1E2833"/>
          <w:sz w:val="20"/>
          <w:szCs w:val="20"/>
        </w:rPr>
        <w:t xml:space="preserve">SteelRiver recognises eight risk categories. Every risk must be assigned to at least one category when it is logged. A single issue often sits in more than one category (for example a roster change can be a WHS psychosocial, people and operational risk at once); log it once and record every category that applies.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4600"/>
        <w:gridCol w:w="2952"/>
      </w:tblGrid>
      <w:tr>
        <w:trPr>
          <w:cantSplit/>
          <w:tblHeader/>
        </w:trPr>
        <w:tc>
          <w:tcPr>
            <w:tcW w:type="dxa" w:w="2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Category</w:t>
            </w:r>
          </w:p>
        </w:tc>
        <w:tc>
          <w:tcPr>
            <w:tcW w:type="dxa" w:w="4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Examples</w:t>
            </w:r>
          </w:p>
        </w:tc>
        <w:tc>
          <w:tcPr>
            <w:tcW w:type="dxa" w:w="29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Primary responsibility</w:t>
            </w:r>
          </w:p>
        </w:tc>
      </w:tr>
      <w:tr>
        <w:trPr>
          <w:cantSplit/>
        </w:trPr>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WHS physical</w:t>
            </w:r>
          </w:p>
        </w:tc>
        <w:tc>
          <w:tcPr>
            <w:tcW w:type="dxa" w:w="4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Mobile plant and pedestrians, manual handling, racking, falls, noise, hazardous chemicals, vehicles in the yard, cold environments</w:t>
            </w:r>
          </w:p>
        </w:tc>
        <w:tc>
          <w:tcPr>
            <w:tcW w:type="dxa" w:w="2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 (site); National WHS Manager (national)</w:t>
            </w:r>
          </w:p>
        </w:tc>
      </w:tr>
      <w:tr>
        <w:trPr>
          <w:cantSplit/>
        </w:trPr>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WHS psychosocial</w:t>
            </w:r>
          </w:p>
        </w:tc>
        <w:tc>
          <w:tcPr>
            <w:tcW w:type="dxa" w:w="4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High job demands, fatigue and shift work, low support, poor change management, conflict, aggression from customers or the public, working alone</w:t>
            </w:r>
          </w:p>
        </w:tc>
        <w:tc>
          <w:tcPr>
            <w:tcW w:type="dxa" w:w="2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 (site) with People and Culture; National WHS Manager (national)</w:t>
            </w:r>
          </w:p>
        </w:tc>
      </w:tr>
      <w:tr>
        <w:trPr>
          <w:cantSplit/>
        </w:trPr>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Dangerous goods and environmental</w:t>
            </w:r>
          </w:p>
        </w:tc>
        <w:tc>
          <w:tcPr>
            <w:tcW w:type="dxa" w:w="4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Storage and handling of diesel, LPG, battery electrolyte and gas cylinders; spills, emissions, waste</w:t>
            </w:r>
          </w:p>
        </w:tc>
        <w:tc>
          <w:tcPr>
            <w:tcW w:type="dxa" w:w="2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Operations Manager (site); National WHS Manager (Dangerous Goods Officer for Perth)</w:t>
            </w:r>
          </w:p>
        </w:tc>
      </w:tr>
      <w:tr>
        <w:trPr>
          <w:cantSplit/>
        </w:trPr>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Operational</w:t>
            </w:r>
          </w:p>
        </w:tc>
        <w:tc>
          <w:tcPr>
            <w:tcW w:type="dxa" w:w="4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Equipment breakdown, system outage, stock accuracy, pick errors, delivery failure, capacity during peaks and change projects</w:t>
            </w:r>
          </w:p>
        </w:tc>
        <w:tc>
          <w:tcPr>
            <w:tcW w:type="dxa" w:w="2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DC Manager</w:t>
            </w:r>
          </w:p>
        </w:tc>
      </w:tr>
      <w:tr>
        <w:trPr>
          <w:cantSplit/>
        </w:trPr>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People</w:t>
            </w:r>
          </w:p>
        </w:tc>
        <w:tc>
          <w:tcPr>
            <w:tcW w:type="dxa" w:w="4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Skill gaps, supervisor capability, capacity to absorb change, turnover, absence, industrial disputes, performance management processes</w:t>
            </w:r>
          </w:p>
        </w:tc>
        <w:tc>
          <w:tcPr>
            <w:tcW w:type="dxa" w:w="2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DC Manager with the HR Business Partner; Head of People and Culture (national)</w:t>
            </w:r>
          </w:p>
        </w:tc>
      </w:tr>
      <w:tr>
        <w:trPr>
          <w:cantSplit/>
        </w:trPr>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Financial</w:t>
            </w:r>
          </w:p>
        </w:tc>
        <w:tc>
          <w:tcPr>
            <w:tcW w:type="dxa" w:w="4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Cost overruns, customer credit, fraud, contract penalties and service credits</w:t>
            </w:r>
          </w:p>
        </w:tc>
        <w:tc>
          <w:tcPr>
            <w:tcW w:type="dxa" w:w="2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Chief Financial Officer</w:t>
            </w:r>
          </w:p>
        </w:tc>
      </w:tr>
      <w:tr>
        <w:trPr>
          <w:cantSplit/>
        </w:trPr>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Compliance</w:t>
            </w:r>
          </w:p>
        </w:tc>
        <w:tc>
          <w:tcPr>
            <w:tcW w:type="dxa" w:w="4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Breach of WHS, dangerous goods, employment, privacy or licensing law, or of contract conditions</w:t>
            </w:r>
          </w:p>
        </w:tc>
        <w:tc>
          <w:tcPr>
            <w:tcW w:type="dxa" w:w="2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managers; National WHS Manager (WHS); Head of People and Culture (employment and privacy)</w:t>
            </w:r>
          </w:p>
        </w:tc>
      </w:tr>
      <w:tr>
        <w:trPr>
          <w:cantSplit/>
        </w:trPr>
        <w:tc>
          <w:tcPr>
            <w:tcW w:type="dxa" w:w="2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8. Reputational and strategic</w:t>
            </w:r>
          </w:p>
        </w:tc>
        <w:tc>
          <w:tcPr>
            <w:tcW w:type="dxa" w:w="4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Loss of a major customer, serious incident in the public eye, regulator action, market change, major project delay</w:t>
            </w:r>
          </w:p>
        </w:tc>
        <w:tc>
          <w:tcPr>
            <w:tcW w:type="dxa" w:w="2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Chief Executive Officer</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People-related risks in performance management</w:t>
      </w:r>
    </w:p>
    <w:p>
      <w:pPr>
        <w:spacing w:before="0" w:after="120" w:line="276"/>
      </w:pPr>
      <w:r>
        <w:rPr>
          <w:rFonts w:ascii="Aptos" w:cs="Aptos" w:eastAsia="Aptos" w:hAnsi="Aptos"/>
          <w:color w:val="1E2833"/>
          <w:sz w:val="20"/>
          <w:szCs w:val="20"/>
        </w:rPr>
        <w:t xml:space="preserve">Managing the performance of workers carries its own risks. Managers must identify and control them whenever they start a formal performance process (for example a performance improvement plan under SRL-CR-021 and SRL-CR-064, or disciplinary action under SRL-CR-039), allocate significantly different work, or change KPIs.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4000"/>
        <w:gridCol w:w="3652"/>
      </w:tblGrid>
      <w:tr>
        <w:trPr>
          <w:cantSplit/>
          <w:tblHeader/>
        </w:trPr>
        <w:tc>
          <w:tcPr>
            <w:tcW w:type="dxa" w:w="2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Risk</w:t>
            </w:r>
          </w:p>
        </w:tc>
        <w:tc>
          <w:tcPr>
            <w:tcW w:type="dxa" w:w="4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looks like</w:t>
            </w:r>
          </w:p>
        </w:tc>
        <w:tc>
          <w:tcPr>
            <w:tcW w:type="dxa" w:w="36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Typical controls</w:t>
            </w:r>
          </w:p>
        </w:tc>
      </w:tr>
      <w:tr>
        <w:trPr>
          <w:cantSplit/>
        </w:trPr>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Procedural fairness</w:t>
            </w:r>
          </w:p>
        </w:tc>
        <w:tc>
          <w:tcPr>
            <w:tcW w:type="dxa" w:w="4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Steps in SRL-CR-021 or SRL-CR-039 skipped, no written notice, no chance to respond, exposing SteelRiver to an unfair dismissal claim</w:t>
            </w:r>
          </w:p>
        </w:tc>
        <w:tc>
          <w:tcPr>
            <w:tcW w:type="dxa" w:w="36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Follow the procedure in order; HR Business Partner reviews documents; record every meeting</w:t>
            </w:r>
          </w:p>
        </w:tc>
      </w:tr>
      <w:tr>
        <w:trPr>
          <w:cantSplit/>
        </w:trPr>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Discrimination or bias</w:t>
            </w:r>
          </w:p>
        </w:tc>
        <w:tc>
          <w:tcPr>
            <w:tcW w:type="dxa" w:w="4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Real or perceived bias on a protected attribute (for example age, sex, race, disability or family responsibilities), or a standard applied to one worker and not others</w:t>
            </w:r>
          </w:p>
        </w:tc>
        <w:tc>
          <w:tcPr>
            <w:tcW w:type="dxa" w:w="36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Apply KPIs consistently across the team; evidence based on data; HR Business Partner review</w:t>
            </w:r>
          </w:p>
        </w:tc>
      </w:tr>
      <w:tr>
        <w:trPr>
          <w:cantSplit/>
        </w:trPr>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Privacy</w:t>
            </w:r>
          </w:p>
        </w:tc>
        <w:tc>
          <w:tcPr>
            <w:tcW w:type="dxa" w:w="4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Performance information seen by people with no need to know</w:t>
            </w:r>
          </w:p>
        </w:tc>
        <w:tc>
          <w:tcPr>
            <w:tcW w:type="dxa" w:w="36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Store records in the SRL HR system only; limit access (SRL-CR-018)</w:t>
            </w:r>
          </w:p>
        </w:tc>
      </w:tr>
      <w:tr>
        <w:trPr>
          <w:cantSplit/>
        </w:trPr>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Industrial</w:t>
            </w:r>
          </w:p>
        </w:tc>
        <w:tc>
          <w:tcPr>
            <w:tcW w:type="dxa" w:w="4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Dispute escalated through a union or the Fair Work Commission</w:t>
            </w:r>
          </w:p>
        </w:tc>
        <w:tc>
          <w:tcPr>
            <w:tcW w:type="dxa" w:w="36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Early HR advice; support person offered; respond to concerns in writing</w:t>
            </w:r>
          </w:p>
        </w:tc>
      </w:tr>
      <w:tr>
        <w:trPr>
          <w:cantSplit/>
        </w:trPr>
        <w:tc>
          <w:tcPr>
            <w:tcW w:type="dxa" w:w="2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Wellbeing (psychosocial)</w:t>
            </w:r>
          </w:p>
        </w:tc>
        <w:tc>
          <w:tcPr>
            <w:tcW w:type="dxa" w:w="4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Harm to the worker's mental health during a formal process, or bullying claims</w:t>
            </w:r>
          </w:p>
        </w:tc>
        <w:tc>
          <w:tcPr>
            <w:tcW w:type="dxa" w:w="36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Supportive, factual communication; EAP offered (SRL-CR-053); regular check-ins; treat any concern as a WHS psychosocial risk</w:t>
            </w:r>
          </w:p>
        </w:tc>
      </w:tr>
      <w:tr>
        <w:trPr>
          <w:cantSplit/>
        </w:trPr>
        <w:tc>
          <w:tcPr>
            <w:tcW w:type="dxa" w:w="2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Operational and retention</w:t>
            </w:r>
          </w:p>
        </w:tc>
        <w:tc>
          <w:tcPr>
            <w:tcW w:type="dxa" w:w="4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Loss of capability if the worker leaves, especially in shift-critical roles; other team members losing confidence in how people are treated</w:t>
            </w:r>
          </w:p>
        </w:tc>
        <w:tc>
          <w:tcPr>
            <w:tcW w:type="dxa" w:w="36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Succession and cover planning; recognise good performers (SRL-CR-022); communicate fairly with the team</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Manager responsibilities and escalation</w:t>
      </w:r>
    </w:p>
    <w:p>
      <w:pPr>
        <w:keepNext/>
        <w:spacing w:before="200" w:after="80"/>
      </w:pPr>
      <w:r>
        <w:rPr>
          <w:rFonts w:ascii="Aptos Display" w:cs="Aptos Display" w:eastAsia="Aptos Display" w:hAnsi="Aptos Display"/>
          <w:b/>
          <w:bCs/>
          <w:color w:val="5E7C99"/>
          <w:sz w:val="24"/>
          <w:szCs w:val="24"/>
        </w:rPr>
        <w:t xml:space="preserve">4.1 Manager responsibilities</w:t>
      </w:r>
    </w:p>
    <w:p>
      <w:pPr>
        <w:spacing w:before="0" w:after="120" w:line="276"/>
      </w:pPr>
      <w:r>
        <w:rPr>
          <w:rFonts w:ascii="Aptos" w:cs="Aptos" w:eastAsia="Aptos" w:hAnsi="Aptos"/>
          <w:color w:val="1E2833"/>
          <w:sz w:val="20"/>
          <w:szCs w:val="20"/>
        </w:rPr>
        <w:t xml:space="preserve">DC Managers and the managers who report to them are accountable for:</w:t>
      </w:r>
    </w:p>
    <w:p>
      <w:pPr>
        <w:pStyle w:val="ListParagraph"/>
        <w:numPr>
          <w:ilvl w:val="0"/>
          <w:numId w:val="2"/>
        </w:numPr>
        <w:spacing w:after="60" w:line="264"/>
      </w:pPr>
      <w:r>
        <w:rPr>
          <w:rFonts w:ascii="Aptos" w:cs="Aptos" w:eastAsia="Aptos" w:hAnsi="Aptos"/>
          <w:color w:val="1E2833"/>
          <w:sz w:val="20"/>
          <w:szCs w:val="20"/>
        </w:rPr>
        <w:t xml:space="preserve">keeping a current risk register for their site or function in MyOSH</w:t>
      </w:r>
    </w:p>
    <w:p>
      <w:pPr>
        <w:pStyle w:val="ListParagraph"/>
        <w:numPr>
          <w:ilvl w:val="0"/>
          <w:numId w:val="2"/>
        </w:numPr>
        <w:spacing w:after="60" w:line="264"/>
      </w:pPr>
      <w:r>
        <w:rPr>
          <w:rFonts w:ascii="Aptos" w:cs="Aptos" w:eastAsia="Aptos" w:hAnsi="Aptos"/>
          <w:color w:val="1E2833"/>
          <w:sz w:val="20"/>
          <w:szCs w:val="20"/>
        </w:rPr>
        <w:t xml:space="preserve">logging new risks within five business days of identifying them (immediately for High and Extreme risks)</w:t>
      </w:r>
    </w:p>
    <w:p>
      <w:pPr>
        <w:pStyle w:val="ListParagraph"/>
        <w:numPr>
          <w:ilvl w:val="0"/>
          <w:numId w:val="2"/>
        </w:numPr>
        <w:spacing w:after="60" w:line="264"/>
      </w:pPr>
      <w:r>
        <w:rPr>
          <w:rFonts w:ascii="Aptos" w:cs="Aptos" w:eastAsia="Aptos" w:hAnsi="Aptos"/>
          <w:color w:val="1E2833"/>
          <w:sz w:val="20"/>
          <w:szCs w:val="20"/>
        </w:rPr>
        <w:t xml:space="preserve">reviewing the register monthly with their direct reports</w:t>
      </w:r>
    </w:p>
    <w:p>
      <w:pPr>
        <w:pStyle w:val="ListParagraph"/>
        <w:numPr>
          <w:ilvl w:val="0"/>
          <w:numId w:val="2"/>
        </w:numPr>
        <w:spacing w:after="60" w:line="264"/>
      </w:pPr>
      <w:r>
        <w:rPr>
          <w:rFonts w:ascii="Aptos" w:cs="Aptos" w:eastAsia="Aptos" w:hAnsi="Aptos"/>
          <w:color w:val="1E2833"/>
          <w:sz w:val="20"/>
          <w:szCs w:val="20"/>
        </w:rPr>
        <w:t xml:space="preserve">carrying out a risk assessment before any work allocation or change that introduces new exposure: a new shift pattern, product, customer, vendor, system, item of plant or work area</w:t>
      </w:r>
    </w:p>
    <w:p>
      <w:pPr>
        <w:pStyle w:val="ListParagraph"/>
        <w:numPr>
          <w:ilvl w:val="0"/>
          <w:numId w:val="2"/>
        </w:numPr>
        <w:spacing w:after="60" w:line="264"/>
      </w:pPr>
      <w:r>
        <w:rPr>
          <w:rFonts w:ascii="Aptos" w:cs="Aptos" w:eastAsia="Aptos" w:hAnsi="Aptos"/>
          <w:color w:val="1E2833"/>
          <w:sz w:val="20"/>
          <w:szCs w:val="20"/>
        </w:rPr>
        <w:t xml:space="preserve">documenting controls with a named owner and a due date, and checking they are done</w:t>
      </w:r>
    </w:p>
    <w:p>
      <w:pPr>
        <w:pStyle w:val="ListParagraph"/>
        <w:numPr>
          <w:ilvl w:val="0"/>
          <w:numId w:val="2"/>
        </w:numPr>
        <w:spacing w:after="60" w:line="264"/>
      </w:pPr>
      <w:r>
        <w:rPr>
          <w:rFonts w:ascii="Aptos" w:cs="Aptos" w:eastAsia="Aptos" w:hAnsi="Aptos"/>
          <w:color w:val="1E2833"/>
          <w:sz w:val="20"/>
          <w:szCs w:val="20"/>
        </w:rPr>
        <w:t xml:space="preserve">escalating risks according to their rating (Section 4.2).</w:t>
      </w:r>
    </w:p>
    <w:p>
      <w:pPr>
        <w:keepNext/>
        <w:spacing w:before="200" w:after="80"/>
      </w:pPr>
      <w:r>
        <w:rPr>
          <w:rFonts w:ascii="Aptos Display" w:cs="Aptos Display" w:eastAsia="Aptos Display" w:hAnsi="Aptos Display"/>
          <w:b/>
          <w:bCs/>
          <w:color w:val="5E7C99"/>
          <w:sz w:val="24"/>
          <w:szCs w:val="24"/>
        </w:rPr>
        <w:t xml:space="preserve">4.2 Escalation by risk rating</w:t>
      </w:r>
    </w:p>
    <w:p>
      <w:pPr>
        <w:spacing w:before="0" w:after="120" w:line="276"/>
      </w:pPr>
      <w:r>
        <w:rPr>
          <w:rFonts w:ascii="Aptos" w:cs="Aptos" w:eastAsia="Aptos" w:hAnsi="Aptos"/>
          <w:color w:val="1E2833"/>
          <w:sz w:val="20"/>
          <w:szCs w:val="20"/>
        </w:rPr>
        <w:t xml:space="preserve">The rating after current controls decides who must be told, how fast, and what must happen next.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3900"/>
        <w:gridCol w:w="4052"/>
      </w:tblGrid>
      <w:tr>
        <w:trPr>
          <w:cantSplit/>
          <w:tblHeader/>
        </w:trPr>
        <w:tc>
          <w:tcPr>
            <w:tcW w:type="dxa" w:w="1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Rating</w:t>
            </w:r>
          </w:p>
        </w:tc>
        <w:tc>
          <w:tcPr>
            <w:tcW w:type="dxa" w:w="39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 must be told and when</w:t>
            </w:r>
          </w:p>
        </w:tc>
        <w:tc>
          <w:tcPr>
            <w:tcW w:type="dxa" w:w="40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Required action</w:t>
            </w:r>
          </w:p>
        </w:tc>
      </w:tr>
      <w:tr>
        <w:trPr>
          <w:cantSplit/>
        </w:trPr>
        <w:tc>
          <w:tcPr>
            <w:tcW w:type="dxa" w:w="1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Extreme</w:t>
            </w:r>
            <w:r>
              <w:rPr>
                <w:rFonts w:ascii="Aptos" w:cs="Aptos" w:eastAsia="Aptos" w:hAnsi="Aptos"/>
                <w:color w:val="1E2833"/>
                <w:sz w:val="20"/>
                <w:szCs w:val="20"/>
              </w:rPr>
              <w:t xml:space="preserve"> (15 to 25)</w:t>
            </w:r>
          </w:p>
        </w:tc>
        <w:tc>
          <w:tcPr>
            <w:tcW w:type="dxa" w:w="3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the activity. Notify the DC Manager and the National WHS Manager immediately. They inform the Operations Director and the Chief Executive Officer straight away.</w:t>
            </w:r>
          </w:p>
        </w:tc>
        <w:tc>
          <w:tcPr>
            <w:tcW w:type="dxa" w:w="40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resumes only when interim controls bring the rating to High or below and the DC Manager and National WHS Manager approve. Documented control plan. Daily monitoring until reduced.</w:t>
            </w:r>
          </w:p>
        </w:tc>
      </w:tr>
      <w:tr>
        <w:trPr>
          <w:cantSplit/>
        </w:trPr>
        <w:tc>
          <w:tcPr>
            <w:tcW w:type="dxa" w:w="1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High</w:t>
            </w:r>
            <w:r>
              <w:rPr>
                <w:rFonts w:ascii="Aptos" w:cs="Aptos" w:eastAsia="Aptos" w:hAnsi="Aptos"/>
                <w:color w:val="1E2833"/>
                <w:sz w:val="20"/>
                <w:szCs w:val="20"/>
              </w:rPr>
              <w:t xml:space="preserve"> (10 to 14)</w:t>
            </w:r>
          </w:p>
        </w:tc>
        <w:tc>
          <w:tcPr>
            <w:tcW w:type="dxa" w:w="3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Notify the DC Manager and the WHS Coordinator immediately. The Operations Director and the National WHS Manager are informed within 24 hours.</w:t>
            </w:r>
          </w:p>
        </w:tc>
        <w:tc>
          <w:tcPr>
            <w:tcW w:type="dxa" w:w="40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Corrective action within 48 hours. Documented control plan (SRL-CR-063) with owner and date. Weekly monitoring.</w:t>
            </w:r>
          </w:p>
        </w:tc>
      </w:tr>
      <w:tr>
        <w:trPr>
          <w:cantSplit/>
        </w:trPr>
        <w:tc>
          <w:tcPr>
            <w:tcW w:type="dxa" w:w="1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Medium</w:t>
            </w:r>
            <w:r>
              <w:rPr>
                <w:rFonts w:ascii="Aptos" w:cs="Aptos" w:eastAsia="Aptos" w:hAnsi="Aptos"/>
                <w:color w:val="1E2833"/>
                <w:sz w:val="20"/>
                <w:szCs w:val="20"/>
              </w:rPr>
              <w:t xml:space="preserve"> (5 to 9)</w:t>
            </w:r>
          </w:p>
        </w:tc>
        <w:tc>
          <w:tcPr>
            <w:tcW w:type="dxa" w:w="3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Notify the WHS Coordinator and the HSR for the work group.</w:t>
            </w:r>
          </w:p>
        </w:tc>
        <w:tc>
          <w:tcPr>
            <w:tcW w:type="dxa" w:w="40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Documented controls. Corrective action within 7 days where required. Monthly monitoring.</w:t>
            </w:r>
          </w:p>
        </w:tc>
      </w:tr>
      <w:tr>
        <w:trPr>
          <w:cantSplit/>
        </w:trPr>
        <w:tc>
          <w:tcPr>
            <w:tcW w:type="dxa" w:w="1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Low</w:t>
            </w:r>
            <w:r>
              <w:rPr>
                <w:rFonts w:ascii="Aptos" w:cs="Aptos" w:eastAsia="Aptos" w:hAnsi="Aptos"/>
                <w:color w:val="1E2833"/>
                <w:sz w:val="20"/>
                <w:szCs w:val="20"/>
              </w:rPr>
              <w:t xml:space="preserve"> (1 to 4)</w:t>
            </w:r>
          </w:p>
        </w:tc>
        <w:tc>
          <w:tcPr>
            <w:tcW w:type="dxa" w:w="3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Notify the WHS Coordinator.</w:t>
            </w:r>
          </w:p>
        </w:tc>
        <w:tc>
          <w:tcPr>
            <w:tcW w:type="dxa" w:w="40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Documented controls. Periodic monitoring.</w:t>
            </w:r>
          </w:p>
        </w:tc>
      </w:tr>
    </w:tbl>
    <w:p>
      <w:pPr>
        <w:spacing w:before="0" w:after="120" w:line="276"/>
      </w:pPr>
      <w:r>
        <w:rPr>
          <w:rFonts w:ascii="Aptos" w:cs="Aptos" w:eastAsia="Aptos" w:hAnsi="Aptos"/>
          <w:color w:val="1E2833"/>
          <w:sz w:val="20"/>
          <w:szCs w:val="20"/>
        </w:rPr>
        <w:t xml:space="preserve">Non-WHS risks follow the same escalation path, with the DC Manager informing the Operations Director of any High risk within 24 hours and of any Extreme risk immediately. The Chief Financial Officer is also informed of High or Extreme financial risks, and the Head of People and Culture of High or Extreme people risks.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Risk rating: the SRL 5x5 matrix</w:t>
      </w:r>
    </w:p>
    <w:p>
      <w:pPr>
        <w:spacing w:before="0" w:after="120" w:line="276"/>
      </w:pPr>
      <w:r>
        <w:rPr>
          <w:rFonts w:ascii="Aptos" w:cs="Aptos" w:eastAsia="Aptos" w:hAnsi="Aptos"/>
          <w:color w:val="1E2833"/>
          <w:sz w:val="20"/>
          <w:szCs w:val="20"/>
        </w:rPr>
        <w:t xml:space="preserve">Every risk is rated on the SRL 5x5 matrix in SRL-CR-061. The score is likelihood multiplied by consequence. Rate the risk before controls (inherent or gross rating) and with current controls (residual rating). Treatment priority and escalation follow the residual rating. If this summary and SRL-CR-061 ever differ, SRL-CR-061 applies.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2900"/>
        <w:gridCol w:w="2900"/>
        <w:gridCol w:w="3152"/>
      </w:tblGrid>
      <w:tr>
        <w:trPr>
          <w:cantSplit/>
          <w:tblHeader/>
        </w:trPr>
        <w:tc>
          <w:tcPr>
            <w:tcW w:type="dxa" w:w="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Level</w:t>
            </w:r>
          </w:p>
        </w:tc>
        <w:tc>
          <w:tcPr>
            <w:tcW w:type="dxa" w:w="29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Likelihood</w:t>
            </w:r>
          </w:p>
        </w:tc>
        <w:tc>
          <w:tcPr>
            <w:tcW w:type="dxa" w:w="29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Consequence: WHS</w:t>
            </w:r>
          </w:p>
        </w:tc>
        <w:tc>
          <w:tcPr>
            <w:tcW w:type="dxa" w:w="3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Consequence: business (non-WHS risks)</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Rare: only in exceptional circumstances</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Insignificant: no injury</w:t>
            </w:r>
          </w:p>
        </w:tc>
        <w:tc>
          <w:tcPr>
            <w:tcW w:type="dxa" w:w="3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Insignificant: no measurable impact, contained within a shift</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w:t>
            </w:r>
          </w:p>
        </w:tc>
        <w:tc>
          <w:tcPr>
            <w:tcW w:type="dxa" w:w="2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Unlikely: could happen but not expected</w:t>
            </w:r>
          </w:p>
        </w:tc>
        <w:tc>
          <w:tcPr>
            <w:tcW w:type="dxa" w:w="2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Minor: first aid</w:t>
            </w:r>
          </w:p>
        </w:tc>
        <w:tc>
          <w:tcPr>
            <w:tcW w:type="dxa" w:w="3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Minor: local disruption, recovered within a day</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Possible: might happen at some time</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Moderate: medical treatment</w:t>
            </w:r>
          </w:p>
        </w:tc>
        <w:tc>
          <w:tcPr>
            <w:tcW w:type="dxa" w:w="3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Moderate: site impact recovered within a week, or a customer complaint</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w:t>
            </w:r>
          </w:p>
        </w:tc>
        <w:tc>
          <w:tcPr>
            <w:tcW w:type="dxa" w:w="2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Likely: will probably happen</w:t>
            </w:r>
          </w:p>
        </w:tc>
        <w:tc>
          <w:tcPr>
            <w:tcW w:type="dxa" w:w="2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Major: hospital admission</w:t>
            </w:r>
          </w:p>
        </w:tc>
        <w:tc>
          <w:tcPr>
            <w:tcW w:type="dxa" w:w="3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Major: cross-site impact, or a material breach of a customer contract</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Almost certain: expected to happen</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Severe: fatality or permanent disabling injury or illness</w:t>
            </w:r>
          </w:p>
        </w:tc>
        <w:tc>
          <w:tcPr>
            <w:tcW w:type="dxa" w:w="3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Severe: loss of a major customer, regulator action or multi-site impact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Score</w:t>
            </w:r>
          </w:p>
        </w:tc>
        <w:tc>
          <w:tcPr>
            <w:tcW w:type="dxa" w:w="7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Rating</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1 to 4</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Low</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5 to 9</w:t>
            </w:r>
          </w:p>
        </w:tc>
        <w:tc>
          <w:tcPr>
            <w:tcW w:type="dxa" w:w="7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Medium</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10 to 14</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High</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15 to 25</w:t>
            </w:r>
          </w:p>
        </w:tc>
        <w:tc>
          <w:tcPr>
            <w:tcW w:type="dxa" w:w="7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Extreme</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Hierarchy of control</w:t>
      </w:r>
    </w:p>
    <w:p>
      <w:pPr>
        <w:spacing w:before="0" w:after="120" w:line="276"/>
      </w:pPr>
      <w:r>
        <w:rPr>
          <w:rFonts w:ascii="Aptos" w:cs="Aptos" w:eastAsia="Aptos" w:hAnsi="Aptos"/>
          <w:color w:val="1E2833"/>
          <w:sz w:val="20"/>
          <w:szCs w:val="20"/>
        </w:rPr>
        <w:t xml:space="preserve">SteelRiver applies the hierarchy of control required by regulation 36 of the WHS (General) Regulations 2022 (WA). A risk must be eliminated so far as is reasonably practicable. If it cannot be eliminated, it is minimised by substitution, isolation or engineering controls, then by administrative controls, and only then by personal protective equipment. SteelRiver teaches the hierarchy as five levels: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2600"/>
        <w:gridCol w:w="6352"/>
      </w:tblGrid>
      <w:tr>
        <w:trPr>
          <w:cantSplit/>
          <w:tblHeader/>
        </w:trPr>
        <w:tc>
          <w:tcPr>
            <w:tcW w:type="dxa" w:w="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Level</w:t>
            </w:r>
          </w:p>
        </w:tc>
        <w:tc>
          <w:tcPr>
            <w:tcW w:type="dxa" w:w="2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Control type</w:t>
            </w:r>
          </w:p>
        </w:tc>
        <w:tc>
          <w:tcPr>
            <w:tcW w:type="dxa" w:w="6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SteelRiver examples</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w:t>
            </w:r>
          </w:p>
        </w:tc>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Elimination</w:t>
            </w:r>
          </w:p>
        </w:tc>
        <w:tc>
          <w:tcPr>
            <w:tcW w:type="dxa" w:w="6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Remove the task or hazard: stop a task that is not needed; store heavy items so they never have to be lifted from floor level</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w:t>
            </w:r>
          </w:p>
        </w:tc>
        <w:tc>
          <w:tcPr>
            <w:tcW w:type="dxa" w:w="2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Substitution</w:t>
            </w:r>
          </w:p>
        </w:tc>
        <w:tc>
          <w:tcPr>
            <w:tcW w:type="dxa" w:w="6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 a lower-risk alternative: a less hazardous cleaning chemical; a smaller carton size</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w:t>
            </w:r>
          </w:p>
        </w:tc>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Engineering (including isolation)</w:t>
            </w:r>
          </w:p>
        </w:tc>
        <w:tc>
          <w:tcPr>
            <w:tcW w:type="dxa" w:w="6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Separate people from the hazard or change the plant or workplace: fixed barriers, guarding, extraction, mechanical lifting aids</w:t>
            </w:r>
          </w:p>
        </w:tc>
      </w:tr>
      <w:tr>
        <w:trPr>
          <w:cantSplit/>
        </w:trPr>
        <w:tc>
          <w:tcPr>
            <w:tcW w:type="dxa" w:w="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w:t>
            </w:r>
          </w:p>
        </w:tc>
        <w:tc>
          <w:tcPr>
            <w:tcW w:type="dxa" w:w="2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Administrative</w:t>
            </w:r>
          </w:p>
        </w:tc>
        <w:tc>
          <w:tcPr>
            <w:tcW w:type="dxa" w:w="6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Procedures, training, signage, rosters and scheduling, spotters, exclusion zones, toolbox talks</w:t>
            </w:r>
          </w:p>
        </w:tc>
      </w:tr>
      <w:tr>
        <w:trPr>
          <w:cantSpli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w:t>
            </w:r>
          </w:p>
        </w:tc>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Personal protective equipment</w:t>
            </w:r>
          </w:p>
        </w:tc>
        <w:tc>
          <w:tcPr>
            <w:tcW w:type="dxa" w:w="6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High-visibility clothing, safety footwear, gloves, hearing protection</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F2A900" w:sz="30"/>
              <w:bottom w:val="none" w:color="FFFFFF" w:sz="0"/>
              <w:right w:val="none" w:color="FFFFFF" w:sz="0"/>
            </w:tcBorders>
            <w:shd w:fill="FFF6DB" w:color="auto" w:val="clear"/>
            <w:tcMar>
              <w:top w:type="dxa" w:w="140"/>
              <w:left w:type="dxa" w:w="220"/>
              <w:bottom w:type="dxa" w:w="100"/>
              <w:right w:type="dxa" w:w="200"/>
            </w:tcMar>
          </w:tcPr>
          <w:p>
            <w:pPr>
              <w:spacing w:before="0" w:after="60" w:line="276"/>
            </w:pPr>
            <w:r>
              <w:rPr>
                <w:rFonts w:ascii="Aptos" w:cs="Aptos" w:eastAsia="Aptos" w:hAnsi="Aptos"/>
                <w:b/>
                <w:bCs/>
                <w:color w:val="013056"/>
                <w:sz w:val="21"/>
                <w:szCs w:val="21"/>
              </w:rPr>
              <w:t xml:space="preserve">Administrative controls alone</w:t>
            </w:r>
          </w:p>
          <w:p>
            <w:pPr>
              <w:spacing w:before="0" w:after="60" w:line="276"/>
            </w:pPr>
            <w:r>
              <w:rPr>
                <w:rFonts w:ascii="Aptos" w:cs="Aptos" w:eastAsia="Aptos" w:hAnsi="Aptos"/>
                <w:color w:val="1E2833"/>
                <w:sz w:val="20"/>
                <w:szCs w:val="20"/>
              </w:rPr>
              <w:t xml:space="preserve">Administrative controls alone, or administrative controls with PPE, are not acceptable for High or Extreme risks without the approval of the Operations Director. The manager must record why higher-order controls are not reasonably practicable, the interim measures in place and the date the controls will be reviewed. For people-related risks (Section 3), where elimination and engineering controls are rarely available, record the rationale in the same way.</w:t>
            </w:r>
          </w:p>
        </w:tc>
      </w:tr>
    </w:tbl>
    <w:p>
      <w:pPr>
        <w:spacing w:before="0" w:after="120" w:line="276"/>
      </w:pPr>
      <w:r>
        <w:rPr>
          <w:rFonts w:ascii="Aptos" w:cs="Aptos" w:eastAsia="Aptos" w:hAnsi="Aptos"/>
          <w:color w:val="1E2833"/>
          <w:sz w:val="20"/>
          <w:szCs w:val="20"/>
        </w:rPr>
        <w:t xml:space="preserve">Most risks need a combination of controls. Controls must be maintained so they remain effective, and workers must be trained in them.</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Risk registers and records</w:t>
      </w:r>
    </w:p>
    <w:p>
      <w:pPr>
        <w:spacing w:before="0" w:after="120" w:line="276"/>
      </w:pPr>
      <w:r>
        <w:rPr>
          <w:rFonts w:ascii="Aptos" w:cs="Aptos" w:eastAsia="Aptos" w:hAnsi="Aptos"/>
          <w:color w:val="1E2833"/>
          <w:sz w:val="20"/>
          <w:szCs w:val="20"/>
        </w:rPr>
        <w:t xml:space="preserve">Every risk is entered in the MyOSH risk register (the SRL Risk Register). Site registers sync daily to the national WHSIS so the National WHS Manager and the National HSE Committee can see every site. Each entry holds:</w:t>
      </w:r>
    </w:p>
    <w:p>
      <w:pPr>
        <w:pStyle w:val="ListParagraph"/>
        <w:numPr>
          <w:ilvl w:val="0"/>
          <w:numId w:val="2"/>
        </w:numPr>
        <w:spacing w:after="60" w:line="264"/>
      </w:pPr>
      <w:r>
        <w:rPr>
          <w:rFonts w:ascii="Aptos" w:cs="Aptos" w:eastAsia="Aptos" w:hAnsi="Aptos"/>
          <w:color w:val="1E2833"/>
          <w:sz w:val="20"/>
          <w:szCs w:val="20"/>
        </w:rPr>
        <w:t xml:space="preserve">risk ID, date logged and who logged it</w:t>
      </w:r>
    </w:p>
    <w:p>
      <w:pPr>
        <w:pStyle w:val="ListParagraph"/>
        <w:numPr>
          <w:ilvl w:val="0"/>
          <w:numId w:val="2"/>
        </w:numPr>
        <w:spacing w:after="60" w:line="264"/>
      </w:pPr>
      <w:r>
        <w:rPr>
          <w:rFonts w:ascii="Aptos" w:cs="Aptos" w:eastAsia="Aptos" w:hAnsi="Aptos"/>
          <w:color w:val="1E2833"/>
          <w:sz w:val="20"/>
          <w:szCs w:val="20"/>
        </w:rPr>
        <w:t xml:space="preserve">description in plain language, location and the work groups exposed</w:t>
      </w:r>
    </w:p>
    <w:p>
      <w:pPr>
        <w:pStyle w:val="ListParagraph"/>
        <w:numPr>
          <w:ilvl w:val="0"/>
          <w:numId w:val="2"/>
        </w:numPr>
        <w:spacing w:after="60" w:line="264"/>
      </w:pPr>
      <w:r>
        <w:rPr>
          <w:rFonts w:ascii="Aptos" w:cs="Aptos" w:eastAsia="Aptos" w:hAnsi="Aptos"/>
          <w:color w:val="1E2833"/>
          <w:sz w:val="20"/>
          <w:szCs w:val="20"/>
        </w:rPr>
        <w:t xml:space="preserve">risk category or categories (Section 2)</w:t>
      </w:r>
    </w:p>
    <w:p>
      <w:pPr>
        <w:pStyle w:val="ListParagraph"/>
        <w:numPr>
          <w:ilvl w:val="0"/>
          <w:numId w:val="2"/>
        </w:numPr>
        <w:spacing w:after="60" w:line="264"/>
      </w:pPr>
      <w:r>
        <w:rPr>
          <w:rFonts w:ascii="Aptos" w:cs="Aptos" w:eastAsia="Aptos" w:hAnsi="Aptos"/>
          <w:color w:val="1E2833"/>
          <w:sz w:val="20"/>
          <w:szCs w:val="20"/>
        </w:rPr>
        <w:t xml:space="preserve">likelihood, consequence and inherent (gross) rating</w:t>
      </w:r>
    </w:p>
    <w:p>
      <w:pPr>
        <w:pStyle w:val="ListParagraph"/>
        <w:numPr>
          <w:ilvl w:val="0"/>
          <w:numId w:val="2"/>
        </w:numPr>
        <w:spacing w:after="60" w:line="264"/>
      </w:pPr>
      <w:r>
        <w:rPr>
          <w:rFonts w:ascii="Aptos" w:cs="Aptos" w:eastAsia="Aptos" w:hAnsi="Aptos"/>
          <w:color w:val="1E2833"/>
          <w:sz w:val="20"/>
          <w:szCs w:val="20"/>
        </w:rPr>
        <w:t xml:space="preserve">existing controls and the residual rating with those controls</w:t>
      </w:r>
    </w:p>
    <w:p>
      <w:pPr>
        <w:pStyle w:val="ListParagraph"/>
        <w:numPr>
          <w:ilvl w:val="0"/>
          <w:numId w:val="2"/>
        </w:numPr>
        <w:spacing w:after="60" w:line="264"/>
      </w:pPr>
      <w:r>
        <w:rPr>
          <w:rFonts w:ascii="Aptos" w:cs="Aptos" w:eastAsia="Aptos" w:hAnsi="Aptos"/>
          <w:color w:val="1E2833"/>
          <w:sz w:val="20"/>
          <w:szCs w:val="20"/>
        </w:rPr>
        <w:t xml:space="preserve">additional controls required, with owner and due date</w:t>
      </w:r>
    </w:p>
    <w:p>
      <w:pPr>
        <w:pStyle w:val="ListParagraph"/>
        <w:numPr>
          <w:ilvl w:val="0"/>
          <w:numId w:val="2"/>
        </w:numPr>
        <w:spacing w:after="60" w:line="264"/>
      </w:pPr>
      <w:r>
        <w:rPr>
          <w:rFonts w:ascii="Aptos" w:cs="Aptos" w:eastAsia="Aptos" w:hAnsi="Aptos"/>
          <w:color w:val="1E2833"/>
          <w:sz w:val="20"/>
          <w:szCs w:val="20"/>
        </w:rPr>
        <w:t xml:space="preserve">review date and the person responsible for the next review.</w:t>
      </w:r>
    </w:p>
    <w:p>
      <w:pPr>
        <w:spacing w:before="0" w:after="120" w:line="276"/>
      </w:pPr>
      <w:r>
        <w:rPr>
          <w:rFonts w:ascii="Aptos" w:cs="Aptos" w:eastAsia="Aptos" w:hAnsi="Aptos"/>
          <w:color w:val="1E2833"/>
          <w:sz w:val="20"/>
          <w:szCs w:val="20"/>
        </w:rPr>
        <w:t xml:space="preserve">Risks rated Medium or above also need a formal assessment record on SRL-CR-061 (or SRL-CR-062 for psychosocial hazards) and, for High and Extreme risks, a control plan on SRL-CR-063. Records are kept under SRL-CR-019: assessments for Extreme and High risks 7 years; Medium 5 years.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Monitoring and review</w:t>
      </w:r>
    </w:p>
    <w:p>
      <w:pPr>
        <w:pStyle w:val="ListParagraph"/>
        <w:numPr>
          <w:ilvl w:val="0"/>
          <w:numId w:val="2"/>
        </w:numPr>
        <w:spacing w:after="60" w:line="264"/>
      </w:pPr>
      <w:r>
        <w:rPr>
          <w:rFonts w:ascii="Aptos" w:cs="Aptos" w:eastAsia="Aptos" w:hAnsi="Aptos"/>
          <w:color w:val="1E2833"/>
          <w:sz w:val="20"/>
          <w:szCs w:val="20"/>
        </w:rPr>
        <w:t xml:space="preserve">The Perth DC risk register is reviewed monthly at the Perth DC WHS Committee and quarterly by the DC Manager with the shift supervisors. Other sites follow the same pattern at their site committee.</w:t>
      </w:r>
    </w:p>
    <w:p>
      <w:pPr>
        <w:pStyle w:val="ListParagraph"/>
        <w:numPr>
          <w:ilvl w:val="0"/>
          <w:numId w:val="2"/>
        </w:numPr>
        <w:spacing w:after="60" w:line="264"/>
      </w:pPr>
      <w:r>
        <w:rPr>
          <w:rFonts w:ascii="Aptos" w:cs="Aptos" w:eastAsia="Aptos" w:hAnsi="Aptos"/>
          <w:color w:val="1E2833"/>
          <w:sz w:val="20"/>
          <w:szCs w:val="20"/>
        </w:rPr>
        <w:t xml:space="preserve">Every register entry is reassessed at least every 12 months.</w:t>
      </w:r>
    </w:p>
    <w:p>
      <w:pPr>
        <w:pStyle w:val="ListParagraph"/>
        <w:numPr>
          <w:ilvl w:val="0"/>
          <w:numId w:val="2"/>
        </w:numPr>
        <w:spacing w:after="60" w:line="264"/>
      </w:pPr>
      <w:r>
        <w:rPr>
          <w:rFonts w:ascii="Aptos" w:cs="Aptos" w:eastAsia="Aptos" w:hAnsi="Aptos"/>
          <w:color w:val="1E2833"/>
          <w:sz w:val="20"/>
          <w:szCs w:val="20"/>
        </w:rPr>
        <w:t xml:space="preserve">A risk assessment and its controls must also be reviewed, and if necessary revised, when a control does not control the risk effectively; before a change at the workplace that is likely to give rise to a new or different risk; when a new hazard or risk is identified; after an incident or near miss involving the risk; and when an HSR requests a review under regulation 38(4).</w:t>
      </w:r>
    </w:p>
    <w:p>
      <w:pPr>
        <w:pStyle w:val="ListParagraph"/>
        <w:numPr>
          <w:ilvl w:val="0"/>
          <w:numId w:val="2"/>
        </w:numPr>
        <w:spacing w:after="60" w:line="264"/>
      </w:pPr>
      <w:r>
        <w:rPr>
          <w:rFonts w:ascii="Aptos" w:cs="Aptos" w:eastAsia="Aptos" w:hAnsi="Aptos"/>
          <w:color w:val="1E2833"/>
          <w:sz w:val="20"/>
          <w:szCs w:val="20"/>
        </w:rPr>
        <w:t xml:space="preserve">The National WHS Manager reports the national picture of High and Extreme risks to the Executive Committee quarterly and to the Board annually.</w:t>
      </w:r>
    </w:p>
    <w:p>
      <w:pPr>
        <w:pStyle w:val="ListParagraph"/>
        <w:numPr>
          <w:ilvl w:val="0"/>
          <w:numId w:val="2"/>
        </w:numPr>
        <w:spacing w:after="60" w:line="264"/>
      </w:pPr>
      <w:r>
        <w:rPr>
          <w:rFonts w:ascii="Aptos" w:cs="Aptos" w:eastAsia="Aptos" w:hAnsi="Aptos"/>
          <w:color w:val="1E2833"/>
          <w:sz w:val="20"/>
          <w:szCs w:val="20"/>
        </w:rPr>
        <w:t xml:space="preserve">WHS risk management tools are reviewed every 12 months and procedures every 24 months. This framework is reviewed every 24 months, or earlier after a significant change or a serious incident.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Roles and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7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 under this framework</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Board (officers, s.27)</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Sets the risk appetite and WHS targets. Receives the annual risk report.</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Chief Executive Officer (officer)</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Accountable for the framework. Informed immediately of Extreme risks. Approves this framework.</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Operations Director (officer)</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Accountable for risk management at the three DCs. Informed of High risks within 24 hours. Approves reliance on administrative controls alone for High or Extreme risks.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National WHS Manager (officer)</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framework, SRL-CR-030 and SRL-CR-061. Gives technical advice. Informed of High and Extreme WHS risks. Reports to the Executive Committee and Board.</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Chief Financial Officer and Head of People and Culture (officers)</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 financial and people risks nationally. Informed of High and Extreme risks in their category.</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DC Managers (workers, s.28)</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Accountable for the site risk register and for risk management at the site. Approve control plans. Stop work for Extreme risks. Escalate under Section 4.</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Operations Managers (workers)</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Apply this framework to rosters, plant, projects and contractor work. Own dangerous goods and environmental risks at the site.</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Coordinators (workers)</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Maintain the site risk register in MyOSH. Facilitate hazard identification and risk assessment. Coordinate consultation on risks.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Shift supervisors and warehouse leads (workers)</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Identify hazards in their area, apply and supervise controls, report hazards in MyOSH and brief workers.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HSRs</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Represent their work group in consultation on risks and controls. May request a review of controls under regulation 38(4).</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All workers</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Follow controls, report hazards and incidents, and take part in risk assessments for their work.</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10. Related documents</w:t>
      </w:r>
    </w:p>
    <w:p>
      <w:pPr>
        <w:pStyle w:val="ListParagraph"/>
        <w:numPr>
          <w:ilvl w:val="0"/>
          <w:numId w:val="2"/>
        </w:numPr>
        <w:spacing w:after="60" w:line="264"/>
      </w:pPr>
      <w:r>
        <w:rPr>
          <w:rFonts w:ascii="Aptos" w:cs="Aptos" w:eastAsia="Aptos" w:hAnsi="Aptos"/>
          <w:color w:val="1E2833"/>
          <w:sz w:val="20"/>
          <w:szCs w:val="20"/>
        </w:rPr>
        <w:t xml:space="preserve">SRL-CR-002 Organisational Chart, Position Descriptions and Delegations</w:t>
      </w:r>
    </w:p>
    <w:p>
      <w:pPr>
        <w:pStyle w:val="ListParagraph"/>
        <w:numPr>
          <w:ilvl w:val="0"/>
          <w:numId w:val="2"/>
        </w:numPr>
        <w:spacing w:after="60" w:line="264"/>
      </w:pPr>
      <w:r>
        <w:rPr>
          <w:rFonts w:ascii="Aptos" w:cs="Aptos" w:eastAsia="Aptos" w:hAnsi="Aptos"/>
          <w:color w:val="1E2833"/>
          <w:sz w:val="20"/>
          <w:szCs w:val="20"/>
        </w:rPr>
        <w:t xml:space="preserve">SRL-CR-010 Work Health and Safety Policy</w:t>
      </w:r>
    </w:p>
    <w:p>
      <w:pPr>
        <w:pStyle w:val="ListParagraph"/>
        <w:numPr>
          <w:ilvl w:val="0"/>
          <w:numId w:val="2"/>
        </w:numPr>
        <w:spacing w:after="60" w:line="264"/>
      </w:pPr>
      <w:r>
        <w:rPr>
          <w:rFonts w:ascii="Aptos" w:cs="Aptos" w:eastAsia="Aptos" w:hAnsi="Aptos"/>
          <w:color w:val="1E2833"/>
          <w:sz w:val="20"/>
          <w:szCs w:val="20"/>
        </w:rPr>
        <w:t xml:space="preserve">SRL-CR-019 Document Control and Records Management Policy</w:t>
      </w:r>
    </w:p>
    <w:p>
      <w:pPr>
        <w:pStyle w:val="ListParagraph"/>
        <w:numPr>
          <w:ilvl w:val="0"/>
          <w:numId w:val="2"/>
        </w:numPr>
        <w:spacing w:after="60" w:line="264"/>
      </w:pPr>
      <w:r>
        <w:rPr>
          <w:rFonts w:ascii="Aptos" w:cs="Aptos" w:eastAsia="Aptos" w:hAnsi="Aptos"/>
          <w:color w:val="1E2833"/>
          <w:sz w:val="20"/>
          <w:szCs w:val="20"/>
        </w:rPr>
        <w:t xml:space="preserve">SRL-CR-021 Performance Management Policy; SRL-CR-039 Termination and Disciplinary Procedure</w:t>
      </w:r>
    </w:p>
    <w:p>
      <w:pPr>
        <w:pStyle w:val="ListParagraph"/>
        <w:numPr>
          <w:ilvl w:val="0"/>
          <w:numId w:val="2"/>
        </w:numPr>
        <w:spacing w:after="60" w:line="264"/>
      </w:pPr>
      <w:r>
        <w:rPr>
          <w:rFonts w:ascii="Aptos" w:cs="Aptos" w:eastAsia="Aptos" w:hAnsi="Aptos"/>
          <w:color w:val="1E2833"/>
          <w:sz w:val="20"/>
          <w:szCs w:val="20"/>
        </w:rPr>
        <w:t xml:space="preserve">SRL-CR-030 WHS Risk Management Procedure</w:t>
      </w:r>
    </w:p>
    <w:p>
      <w:pPr>
        <w:pStyle w:val="ListParagraph"/>
        <w:numPr>
          <w:ilvl w:val="0"/>
          <w:numId w:val="2"/>
        </w:numPr>
        <w:spacing w:after="60" w:line="264"/>
      </w:pPr>
      <w:r>
        <w:rPr>
          <w:rFonts w:ascii="Aptos" w:cs="Aptos" w:eastAsia="Aptos" w:hAnsi="Aptos"/>
          <w:color w:val="1E2833"/>
          <w:sz w:val="20"/>
          <w:szCs w:val="20"/>
        </w:rPr>
        <w:t xml:space="preserve">SRL-CR-044 Psychosocial Hazard Management Procedure</w:t>
      </w:r>
    </w:p>
    <w:p>
      <w:pPr>
        <w:pStyle w:val="ListParagraph"/>
        <w:numPr>
          <w:ilvl w:val="0"/>
          <w:numId w:val="2"/>
        </w:numPr>
        <w:spacing w:after="60" w:line="264"/>
      </w:pPr>
      <w:r>
        <w:rPr>
          <w:rFonts w:ascii="Aptos" w:cs="Aptos" w:eastAsia="Aptos" w:hAnsi="Aptos"/>
          <w:color w:val="1E2833"/>
          <w:sz w:val="20"/>
          <w:szCs w:val="20"/>
        </w:rPr>
        <w:t xml:space="preserve">SRL-CR-061 Risk Assessment Template and SRL 5x5 Risk Matrix; SRL-CR-062 Psychosocial Hazard Risk Assessment Template; SRL-CR-063 Risk Control Plan Template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March 2026</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Enterprise risk plan and WHS risk plan merged into one framework. Eight risk categories. People-related risks in performance management added. Rating bands and escalation aligned to the SRL 5x5 matrix (SRL-CR-061). Hierarchy of control taught as five levels with isolation under engineering. Rule on administrative controls for High and Extreme risks added.</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March 2024</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Review. MyOSH adopted as the risk register.</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SRL-CR-013 Version 3.0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SRL-CR-013 Version 3.0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SRL-CR-013  ·  Risk Management Framework (Risk Management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SRL-CR-013 Risk Management Framework (Risk Management Plan)</dc:title>
  <dc:creator>SteelRiver Logistics Pty Ltd</dc:creator>
  <cp:lastModifiedBy>Un-named</cp:lastModifiedBy>
  <cp:revision>1</cp:revision>
  <dcterms:created xsi:type="dcterms:W3CDTF">2026-10-28T08:26:09.834Z</dcterms:created>
  <dcterms:modified xsi:type="dcterms:W3CDTF">2026-10-28T08:26:09.834Z</dcterms:modified>
</cp:coreProperties>
</file>

<file path=docProps/custom.xml><?xml version="1.0" encoding="utf-8"?>
<Properties xmlns="http://schemas.openxmlformats.org/officeDocument/2006/custom-properties" xmlns:vt="http://schemas.openxmlformats.org/officeDocument/2006/docPropsVTypes"/>
</file>