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152"/>
        <w:gridCol w:w="3600"/>
      </w:tblGrid>
      <w:tr>
        <w:tc>
          <w:tcPr>
            <w:tcW w:type="dxa" w:w="6152"/>
            <w:tcBorders>
              <w:top w:val="none" w:color="FFFFFF" w:sz="0"/>
              <w:left w:val="none" w:color="FFFFFF" w:sz="0"/>
              <w:bottom w:val="none" w:color="FFFFFF" w:sz="0"/>
              <w:right w:val="none" w:color="FFFFFF" w:sz="0"/>
            </w:tcBorders>
            <w:vAlign w:val="center"/>
          </w:tcPr>
          <w:p>
            <w:r>
              <w:drawing>
                <wp:inline distT="0" distB="0" distL="0" distR="0">
                  <wp:extent cx="186690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1866900" cy="666750"/>
                          </a:xfrm>
                          <a:prstGeom prst="rect">
                            <a:avLst/>
                          </a:prstGeom>
                        </pic:spPr>
                      </pic:pic>
                    </a:graphicData>
                  </a:graphic>
                </wp:inline>
              </w:drawing>
            </w:r>
          </w:p>
        </w:tc>
        <w:tc>
          <w:tcPr>
            <w:tcW w:type="dxa" w:w="3600"/>
            <w:tcBorders>
              <w:top w:val="none" w:color="FFFFFF" w:sz="0"/>
              <w:left w:val="none" w:color="FFFFFF" w:sz="0"/>
              <w:bottom w:val="none" w:color="FFFFFF" w:sz="0"/>
              <w:right w:val="none" w:color="FFFFFF" w:sz="0"/>
            </w:tcBorders>
            <w:vAlign w:val="center"/>
          </w:tcPr>
          <w:p>
            <w:pPr>
              <w:spacing w:after="20"/>
              <w:jc w:val="right"/>
            </w:pPr>
            <w:r>
              <w:rPr>
                <w:rFonts w:ascii="Aptos" w:cs="Aptos" w:eastAsia="Aptos" w:hAnsi="Aptos"/>
                <w:b/>
                <w:bCs/>
                <w:color w:val="5E7C99"/>
                <w:spacing w:val="40"/>
                <w:sz w:val="17"/>
                <w:szCs w:val="17"/>
              </w:rPr>
              <w:t xml:space="preserve">POLICY</w:t>
            </w:r>
          </w:p>
          <w:p>
            <w:pPr>
              <w:spacing w:after="0"/>
              <w:jc w:val="right"/>
            </w:pPr>
            <w:r>
              <w:rPr>
                <w:rFonts w:ascii="Aptos Display" w:cs="Aptos Display" w:eastAsia="Aptos Display" w:hAnsi="Aptos Display"/>
                <w:b/>
                <w:bCs/>
                <w:color w:val="013056"/>
                <w:sz w:val="36"/>
                <w:szCs w:val="36"/>
              </w:rPr>
              <w:t xml:space="preserve">SRL-CR-017</w:t>
            </w:r>
          </w:p>
        </w:tc>
      </w:tr>
    </w:tbl>
    <w:p>
      <w:pPr>
        <w:pBdr>
          <w:top w:val="single" w:color="013056" w:sz="18" w:space="14"/>
        </w:pBdr>
        <w:spacing w:before="200" w:after="80"/>
      </w:pPr>
      <w:r>
        <w:rPr>
          <w:rFonts w:ascii="Aptos Display" w:cs="Aptos Display" w:eastAsia="Aptos Display" w:hAnsi="Aptos Display"/>
          <w:b/>
          <w:bCs/>
          <w:color w:val="013056"/>
          <w:sz w:val="52"/>
          <w:szCs w:val="52"/>
        </w:rPr>
        <w:t xml:space="preserve">Communication Framework and Stakeholder Engagement</w:t>
      </w:r>
    </w:p>
    <w:p>
      <w:pPr>
        <w:spacing w:before="0" w:after="160" w:line="276"/>
      </w:pPr>
      <w:r>
        <w:rPr>
          <w:rFonts w:ascii="Aptos" w:cs="Aptos" w:eastAsia="Aptos" w:hAnsi="Aptos"/>
          <w:color w:val="5E7C99"/>
          <w:sz w:val="24"/>
          <w:szCs w:val="24"/>
        </w:rPr>
        <w:t xml:space="preserve">Who may speak for SteelRiver, which channel to use, and how meetings and presentations are run</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38"/>
        <w:gridCol w:w="2438"/>
        <w:gridCol w:w="2438"/>
        <w:gridCol w:w="2438"/>
      </w:tblGrid>
      <w:tr>
        <w:tc>
          <w:tcPr>
            <w:tcW w:type="dxa" w:w="2438"/>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17"/>
                <w:szCs w:val="17"/>
              </w:rPr>
              <w:t xml:space="preserve">Document number</w:t>
            </w:r>
          </w:p>
        </w:tc>
        <w:tc>
          <w:tcPr>
            <w:tcW w:type="dxa" w:w="2438"/>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SRL-CR-017</w:t>
            </w:r>
          </w:p>
        </w:tc>
        <w:tc>
          <w:tcPr>
            <w:tcW w:type="dxa" w:w="2438"/>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17"/>
                <w:szCs w:val="17"/>
              </w:rPr>
              <w:t xml:space="preserve">Version</w:t>
            </w:r>
          </w:p>
        </w:tc>
        <w:tc>
          <w:tcPr>
            <w:tcW w:type="dxa" w:w="2438"/>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2.0</w:t>
            </w:r>
          </w:p>
        </w:tc>
      </w:tr>
      <w:tr>
        <w:tc>
          <w:tcPr>
            <w:tcW w:type="dxa" w:w="2438"/>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17"/>
                <w:szCs w:val="17"/>
              </w:rPr>
              <w:t xml:space="preserve">Document owner</w:t>
            </w:r>
          </w:p>
        </w:tc>
        <w:tc>
          <w:tcPr>
            <w:tcW w:type="dxa" w:w="2438"/>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Operations Director</w:t>
            </w:r>
          </w:p>
        </w:tc>
        <w:tc>
          <w:tcPr>
            <w:tcW w:type="dxa" w:w="2438"/>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17"/>
                <w:szCs w:val="17"/>
              </w:rPr>
              <w:t xml:space="preserve">Effective date</w:t>
            </w:r>
          </w:p>
        </w:tc>
        <w:tc>
          <w:tcPr>
            <w:tcW w:type="dxa" w:w="2438"/>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3 March 2025</w:t>
            </w:r>
          </w:p>
        </w:tc>
      </w:tr>
      <w:tr>
        <w:tc>
          <w:tcPr>
            <w:tcW w:type="dxa" w:w="2438"/>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17"/>
                <w:szCs w:val="17"/>
              </w:rPr>
              <w:t xml:space="preserve">Approved by</w:t>
            </w:r>
          </w:p>
        </w:tc>
        <w:tc>
          <w:tcPr>
            <w:tcW w:type="dxa" w:w="2438"/>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Rajesh Iyengar, Chief Executive Officer</w:t>
            </w:r>
          </w:p>
        </w:tc>
        <w:tc>
          <w:tcPr>
            <w:tcW w:type="dxa" w:w="2438"/>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17"/>
                <w:szCs w:val="17"/>
              </w:rPr>
              <w:t xml:space="preserve">Next review</w:t>
            </w:r>
          </w:p>
        </w:tc>
        <w:tc>
          <w:tcPr>
            <w:tcW w:type="dxa" w:w="2438"/>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March 2027</w:t>
            </w:r>
          </w:p>
        </w:tc>
      </w:tr>
      <w:tr>
        <w:tc>
          <w:tcPr>
            <w:tcW w:type="dxa" w:w="2438"/>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17"/>
                <w:szCs w:val="17"/>
              </w:rPr>
              <w:t xml:space="preserve">Applies to</w:t>
            </w:r>
          </w:p>
        </w:tc>
        <w:tc>
          <w:tcPr>
            <w:tcW w:type="dxa" w:w="2438"/>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All SteelRiver sites, managers, supervisors and anyone who communicates on behalf of SteelRiver</w:t>
            </w:r>
          </w:p>
        </w:tc>
        <w:tc>
          <w:tcPr>
            <w:tcW w:type="dxa" w:w="2438"/>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17"/>
                <w:szCs w:val="17"/>
              </w:rPr>
              <w:t xml:space="preserve">Status</w:t>
            </w:r>
          </w:p>
        </w:tc>
        <w:tc>
          <w:tcPr>
            <w:tcW w:type="dxa" w:w="2438"/>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Controlled. Uncontrolled when printed</w:t>
            </w:r>
          </w:p>
        </w:tc>
      </w:tr>
    </w:tbl>
    <w:p>
      <w:pPr>
        <w:spacing w:after="200"/>
      </w:pP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1. Purpose</w:t>
      </w:r>
    </w:p>
    <w:p>
      <w:pPr>
        <w:spacing w:before="0" w:after="120" w:line="276"/>
      </w:pPr>
      <w:r>
        <w:rPr>
          <w:rFonts w:ascii="Aptos" w:cs="Aptos" w:eastAsia="Aptos" w:hAnsi="Aptos"/>
          <w:color w:val="1E2833"/>
          <w:sz w:val="20"/>
          <w:szCs w:val="20"/>
        </w:rPr>
        <w:t xml:space="preserve">This Framework sets out how SteelRiver Logistics Pty Ltd (SteelRiver) communicates with its internal and external stakeholders. It makes sure that what we say is timely, accurate, consistent across the three Distribution Centres (Perth, Brisbane and Newcastle) and within the authority of the person saying it, and that it meets our legal and ethical obligations, including the Privacy Act 1988 (Cth), our customer contracts and our duty to consult workers under WHS laws.</w:t>
      </w:r>
    </w:p>
    <w:p>
      <w:pPr>
        <w:spacing w:before="0" w:after="120" w:line="276"/>
      </w:pPr>
      <w:r>
        <w:rPr>
          <w:rFonts w:ascii="Aptos" w:cs="Aptos" w:eastAsia="Aptos" w:hAnsi="Aptos"/>
          <w:color w:val="1E2833"/>
          <w:sz w:val="20"/>
          <w:szCs w:val="20"/>
        </w:rPr>
        <w:t xml:space="preserve">It applies to every manager, supervisor and team leader, and to anyone who presents, chairs a meeting, negotiates or writes on behalf of SteelRiver.</w:t>
      </w:r>
    </w:p>
    <w:tbl>
      <w:tblPr>
        <w:tblW w:type="dxa" w:w="9752"/>
        <w:tblBorders>
          <w:top w:val="single" w:color="auto" w:sz="4"/>
          <w:left w:val="single" w:color="auto" w:sz="4"/>
          <w:bottom w:val="single" w:color="auto" w:sz="4"/>
          <w:right w:val="single" w:color="auto" w:sz="4"/>
          <w:insideH w:val="single" w:color="auto" w:sz="4"/>
          <w:insideV w:val="single" w:color="auto" w:sz="4"/>
        </w:tblBorders>
      </w:tblPr>
      <w:tblGrid>
        <w:gridCol w:w="9752"/>
      </w:tblGrid>
      <w:tr>
        <w:trPr>
          <w:cantSplit/>
        </w:trPr>
        <w:tc>
          <w:tcPr>
            <w:tcBorders>
              <w:top w:val="none" w:color="FFFFFF" w:sz="0"/>
              <w:left w:val="single" w:color="F2A900" w:sz="30"/>
              <w:bottom w:val="none" w:color="FFFFFF" w:sz="0"/>
              <w:right w:val="none" w:color="FFFFFF" w:sz="0"/>
            </w:tcBorders>
            <w:shd w:fill="EAF0F5" w:color="auto" w:val="clear"/>
            <w:tcMar>
              <w:top w:type="dxa" w:w="140"/>
              <w:left w:type="dxa" w:w="220"/>
              <w:bottom w:type="dxa" w:w="100"/>
              <w:right w:type="dxa" w:w="200"/>
            </w:tcMar>
          </w:tcPr>
          <w:p>
            <w:pPr>
              <w:spacing w:before="0" w:after="60" w:line="276"/>
            </w:pPr>
            <w:r>
              <w:rPr>
                <w:rFonts w:ascii="Aptos" w:cs="Aptos" w:eastAsia="Aptos" w:hAnsi="Aptos"/>
                <w:b/>
                <w:bCs/>
                <w:color w:val="013056"/>
                <w:sz w:val="21"/>
                <w:szCs w:val="21"/>
              </w:rPr>
              <w:t xml:space="preserve">How this Framework fits with other documents</w:t>
            </w:r>
          </w:p>
          <w:p>
            <w:pPr>
              <w:pStyle w:val="ListParagraph"/>
              <w:numPr>
                <w:ilvl w:val="0"/>
                <w:numId w:val="2"/>
              </w:numPr>
              <w:spacing w:after="60" w:line="264"/>
            </w:pPr>
            <w:r>
              <w:rPr>
                <w:rFonts w:ascii="Aptos" w:cs="Aptos" w:eastAsia="Aptos" w:hAnsi="Aptos"/>
                <w:color w:val="1E2833"/>
                <w:sz w:val="20"/>
                <w:szCs w:val="20"/>
              </w:rPr>
              <w:t xml:space="preserve">SRL-CR-002 sets the financial and decision delegations. This Framework sets communication authority. Check both.</w:t>
            </w:r>
          </w:p>
          <w:p>
            <w:pPr>
              <w:pStyle w:val="ListParagraph"/>
              <w:numPr>
                <w:ilvl w:val="0"/>
                <w:numId w:val="2"/>
              </w:numPr>
              <w:spacing w:after="60" w:line="264"/>
            </w:pPr>
            <w:r>
              <w:rPr>
                <w:rFonts w:ascii="Aptos" w:cs="Aptos" w:eastAsia="Aptos" w:hAnsi="Aptos"/>
                <w:color w:val="1E2833"/>
                <w:sz w:val="20"/>
                <w:szCs w:val="20"/>
              </w:rPr>
              <w:t xml:space="preserve">SRL-CR-018 Information Privacy and Confidentiality Policy sets what personal information may be shared and with whom.</w:t>
            </w:r>
          </w:p>
          <w:p>
            <w:pPr>
              <w:pStyle w:val="ListParagraph"/>
              <w:numPr>
                <w:ilvl w:val="0"/>
                <w:numId w:val="2"/>
              </w:numPr>
              <w:spacing w:after="60" w:line="264"/>
            </w:pPr>
            <w:r>
              <w:rPr>
                <w:rFonts w:ascii="Aptos" w:cs="Aptos" w:eastAsia="Aptos" w:hAnsi="Aptos"/>
                <w:color w:val="1E2833"/>
                <w:sz w:val="20"/>
                <w:szCs w:val="20"/>
              </w:rPr>
              <w:t xml:space="preserve">SRL-CR-031 WHS Consultation and Participation Procedure sets how workers and HSRs are consulted before WHS decisions. Telling people about a decision does not replace consultation.</w:t>
            </w:r>
          </w:p>
        </w:tc>
      </w:tr>
    </w:tbl>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2. Stakeholder map</w:t>
      </w:r>
    </w:p>
    <w:p>
      <w:pPr>
        <w:spacing w:before="0" w:after="120" w:line="276"/>
      </w:pPr>
      <w:r>
        <w:rPr>
          <w:rFonts w:ascii="Aptos" w:cs="Aptos" w:eastAsia="Aptos" w:hAnsi="Aptos"/>
          <w:color w:val="1E2833"/>
          <w:sz w:val="20"/>
          <w:szCs w:val="20"/>
        </w:rPr>
        <w:t xml:space="preserve">The map shows SteelRiver's key stakeholders, what they care about and the channel they prefer. Managers use it when planning any communication. Where a stakeholder is not listed, use the closest match and check with your line manager.</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300"/>
        <w:gridCol w:w="3452"/>
      </w:tblGrid>
      <w:tr>
        <w:trPr>
          <w:cantSplit/>
          <w:tblHeader/>
        </w:trPr>
        <w:tc>
          <w:tcPr>
            <w:tcW w:type="dxa" w:w="30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Stakeholder</w:t>
            </w:r>
          </w:p>
        </w:tc>
        <w:tc>
          <w:tcPr>
            <w:tcW w:type="dxa" w:w="33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Primary interest</w:t>
            </w:r>
          </w:p>
        </w:tc>
        <w:tc>
          <w:tcPr>
            <w:tcW w:type="dxa" w:w="3452"/>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Preferred channel</w:t>
            </w:r>
          </w:p>
        </w:tc>
      </w:tr>
      <w:tr>
        <w:trPr>
          <w:cantSplit/>
        </w:trPr>
        <w:tc>
          <w:tcPr>
            <w:tcW w:type="dxa" w:w="30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Chief Executive Officer and the executive team</w:t>
            </w:r>
          </w:p>
        </w:tc>
        <w:tc>
          <w:tcPr>
            <w:tcW w:type="dxa" w:w="33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Strategy, financial and operational performance, risk, decisions needed</w:t>
            </w:r>
          </w:p>
        </w:tc>
        <w:tc>
          <w:tcPr>
            <w:tcW w:type="dxa" w:w="34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Executive meeting papers; email for routine items</w:t>
            </w:r>
          </w:p>
        </w:tc>
      </w:tr>
      <w:tr>
        <w:trPr>
          <w:cantSplit/>
        </w:trPr>
        <w:tc>
          <w:tcPr>
            <w:tcW w:type="dxa" w:w="30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Operations Director</w:t>
            </w:r>
          </w:p>
        </w:tc>
        <w:tc>
          <w:tcPr>
            <w:tcW w:type="dxa" w:w="33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Site performance, KPIs, escalations, customer contracts</w:t>
            </w:r>
          </w:p>
        </w:tc>
        <w:tc>
          <w:tcPr>
            <w:tcW w:type="dxa" w:w="34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1:1 meetings, monthly DC report, email; phone for urgent matters</w:t>
            </w:r>
          </w:p>
        </w:tc>
      </w:tr>
      <w:tr>
        <w:trPr>
          <w:cantSplit/>
        </w:trPr>
        <w:tc>
          <w:tcPr>
            <w:tcW w:type="dxa" w:w="30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National WHS Manager</w:t>
            </w:r>
          </w:p>
        </w:tc>
        <w:tc>
          <w:tcPr>
            <w:tcW w:type="dxa" w:w="33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WHS performance, incidents, risk, consultation, regulator matters</w:t>
            </w:r>
          </w:p>
        </w:tc>
        <w:tc>
          <w:tcPr>
            <w:tcW w:type="dxa" w:w="34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WHS committees, monthly WHS report, email; phone for serious incidents</w:t>
            </w:r>
          </w:p>
        </w:tc>
      </w:tr>
      <w:tr>
        <w:trPr>
          <w:cantSplit/>
        </w:trPr>
        <w:tc>
          <w:tcPr>
            <w:tcW w:type="dxa" w:w="30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People and Culture (including the Privacy Officer)</w:t>
            </w:r>
          </w:p>
        </w:tc>
        <w:tc>
          <w:tcPr>
            <w:tcW w:type="dxa" w:w="33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Workforce matters, employee relations, privacy</w:t>
            </w:r>
          </w:p>
        </w:tc>
        <w:tc>
          <w:tcPr>
            <w:tcW w:type="dxa" w:w="34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Scheduled meetings, joint case discussions</w:t>
            </w:r>
          </w:p>
        </w:tc>
      </w:tr>
      <w:tr>
        <w:trPr>
          <w:cantSplit/>
        </w:trPr>
        <w:tc>
          <w:tcPr>
            <w:tcW w:type="dxa" w:w="30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DC Managers (Perth, Brisbane, Newcastle)</w:t>
            </w:r>
          </w:p>
        </w:tc>
        <w:tc>
          <w:tcPr>
            <w:tcW w:type="dxa" w:w="33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Cross-site coordination, shared learning, capacity planning</w:t>
            </w:r>
          </w:p>
        </w:tc>
        <w:tc>
          <w:tcPr>
            <w:tcW w:type="dxa" w:w="34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Teams, email, shared SharePoint, cross-DC meetings</w:t>
            </w:r>
          </w:p>
        </w:tc>
      </w:tr>
      <w:tr>
        <w:trPr>
          <w:cantSplit/>
        </w:trPr>
        <w:tc>
          <w:tcPr>
            <w:tcW w:type="dxa" w:w="30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Site supervisors and warehouse leads</w:t>
            </w:r>
          </w:p>
        </w:tc>
        <w:tc>
          <w:tcPr>
            <w:tcW w:type="dxa" w:w="33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Daily operations, crew performance, issues</w:t>
            </w:r>
          </w:p>
        </w:tc>
        <w:tc>
          <w:tcPr>
            <w:tcW w:type="dxa" w:w="34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Daily shift handover, team meetings</w:t>
            </w:r>
          </w:p>
        </w:tc>
      </w:tr>
      <w:tr>
        <w:trPr>
          <w:cantSplit/>
        </w:trPr>
        <w:tc>
          <w:tcPr>
            <w:tcW w:type="dxa" w:w="30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Frontline workers, including casual and labour hire workers and line haul subcontractors</w:t>
            </w:r>
          </w:p>
        </w:tc>
        <w:tc>
          <w:tcPr>
            <w:tcW w:type="dxa" w:w="33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Site updates, changes to their work, rosters, safety</w:t>
            </w:r>
          </w:p>
        </w:tc>
        <w:tc>
          <w:tcPr>
            <w:tcW w:type="dxa" w:w="34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Toolbox talks, supervisor cascade, noticeboards</w:t>
            </w:r>
          </w:p>
        </w:tc>
      </w:tr>
      <w:tr>
        <w:trPr>
          <w:cantSplit/>
        </w:trPr>
        <w:tc>
          <w:tcPr>
            <w:tcW w:type="dxa" w:w="30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HSRs and the WHS committees (Perth DC WHS Committee, National HSE Committee)</w:t>
            </w:r>
          </w:p>
        </w:tc>
        <w:tc>
          <w:tcPr>
            <w:tcW w:type="dxa" w:w="33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Health and safety of their work groups, consultation, issue resolution</w:t>
            </w:r>
          </w:p>
        </w:tc>
        <w:tc>
          <w:tcPr>
            <w:tcW w:type="dxa" w:w="34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Committee meetings, HSR briefings, email</w:t>
            </w:r>
          </w:p>
        </w:tc>
      </w:tr>
      <w:tr>
        <w:trPr>
          <w:cantSplit/>
        </w:trPr>
        <w:tc>
          <w:tcPr>
            <w:tcW w:type="dxa" w:w="30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Customers</w:t>
            </w:r>
          </w:p>
        </w:tc>
        <w:tc>
          <w:tcPr>
            <w:tcW w:type="dxa" w:w="33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Service delivery, issue resolution, contract terms, reporting</w:t>
            </w:r>
          </w:p>
        </w:tc>
        <w:tc>
          <w:tcPr>
            <w:tcW w:type="dxa" w:w="34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Account meetings, business reviews, email</w:t>
            </w:r>
          </w:p>
        </w:tc>
      </w:tr>
      <w:tr>
        <w:trPr>
          <w:cantSplit/>
        </w:trPr>
        <w:tc>
          <w:tcPr>
            <w:tcW w:type="dxa" w:w="30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Contractors and labour hire providers</w:t>
            </w:r>
          </w:p>
        </w:tc>
        <w:tc>
          <w:tcPr>
            <w:tcW w:type="dxa" w:w="33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Service coordination, induction, WHS coordination</w:t>
            </w:r>
          </w:p>
        </w:tc>
        <w:tc>
          <w:tcPr>
            <w:tcW w:type="dxa" w:w="34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Coordination meetings with the contract owner, email</w:t>
            </w:r>
          </w:p>
        </w:tc>
      </w:tr>
      <w:tr>
        <w:trPr>
          <w:cantSplit/>
        </w:trPr>
        <w:tc>
          <w:tcPr>
            <w:tcW w:type="dxa" w:w="30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WHS regulators: WorkSafe WA (Perth), Workplace Health and Safety Queensland (Brisbane), SafeWork NSW (Newcastle)</w:t>
            </w:r>
          </w:p>
        </w:tc>
        <w:tc>
          <w:tcPr>
            <w:tcW w:type="dxa" w:w="33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Compliance, notifiable incidents, notices</w:t>
            </w:r>
          </w:p>
        </w:tc>
        <w:tc>
          <w:tcPr>
            <w:tcW w:type="dxa" w:w="34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Formal written communication through the National WHS Manager and the CEO</w:t>
            </w:r>
          </w:p>
        </w:tc>
      </w:tr>
      <w:tr>
        <w:trPr>
          <w:cantSplit/>
        </w:trPr>
        <w:tc>
          <w:tcPr>
            <w:tcW w:type="dxa" w:w="30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Office of the Australian Information Commissioner (OAIC)</w:t>
            </w:r>
          </w:p>
        </w:tc>
        <w:tc>
          <w:tcPr>
            <w:tcW w:type="dxa" w:w="33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Privacy compliance and notifiable data breaches</w:t>
            </w:r>
          </w:p>
        </w:tc>
        <w:tc>
          <w:tcPr>
            <w:tcW w:type="dxa" w:w="34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Formal written communication through the Privacy Officer, approved by the CEO</w:t>
            </w:r>
          </w:p>
        </w:tc>
      </w:tr>
      <w:tr>
        <w:trPr>
          <w:cantSplit/>
        </w:trPr>
        <w:tc>
          <w:tcPr>
            <w:tcW w:type="dxa" w:w="30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Media, industry bodies and the public</w:t>
            </w:r>
          </w:p>
        </w:tc>
        <w:tc>
          <w:tcPr>
            <w:tcW w:type="dxa" w:w="33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Reputation, sector events</w:t>
            </w:r>
          </w:p>
        </w:tc>
        <w:tc>
          <w:tcPr>
            <w:tcW w:type="dxa" w:w="34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Only through the CEO and Marketing and Communications</w:t>
            </w:r>
          </w:p>
        </w:tc>
      </w:tr>
    </w:tbl>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3. Authority to communicate</w:t>
      </w:r>
    </w:p>
    <w:p>
      <w:pPr>
        <w:spacing w:before="0" w:after="120" w:line="276"/>
      </w:pPr>
      <w:r>
        <w:rPr>
          <w:rFonts w:ascii="Aptos" w:cs="Aptos" w:eastAsia="Aptos" w:hAnsi="Aptos"/>
          <w:color w:val="1E2833"/>
          <w:sz w:val="20"/>
          <w:szCs w:val="20"/>
        </w:rPr>
        <w:t xml:space="preserve">Each role may communicate on behalf of SteelRiver within the scope below without further approval. Anything outside that scope must be approved through the flow in Section 6 before it is communicated. If you are unsure whether something is within your authority, treat it as outside it.</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00"/>
        <w:gridCol w:w="3600"/>
        <w:gridCol w:w="3752"/>
      </w:tblGrid>
      <w:tr>
        <w:trPr>
          <w:cantSplit/>
          <w:tblHeader/>
        </w:trPr>
        <w:tc>
          <w:tcPr>
            <w:tcW w:type="dxa" w:w="24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Role</w:t>
            </w:r>
          </w:p>
        </w:tc>
        <w:tc>
          <w:tcPr>
            <w:tcW w:type="dxa" w:w="36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May communicate</w:t>
            </w:r>
          </w:p>
        </w:tc>
        <w:tc>
          <w:tcPr>
            <w:tcW w:type="dxa" w:w="3752"/>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Must escalate before communicating</w:t>
            </w:r>
          </w:p>
        </w:tc>
      </w:tr>
      <w:tr>
        <w:trPr>
          <w:cantSplit/>
        </w:trPr>
        <w:tc>
          <w:tcPr>
            <w:tcW w:type="dxa" w:w="24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Chief Executive Officer</w:t>
            </w:r>
          </w:p>
        </w:tc>
        <w:tc>
          <w:tcPr>
            <w:tcW w:type="dxa" w:w="36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All matters on behalf of SteelRiver, including the media, the Board, shareholders, major customers and formal positions with regulators</w:t>
            </w:r>
          </w:p>
        </w:tc>
        <w:tc>
          <w:tcPr>
            <w:tcW w:type="dxa" w:w="37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Not applicable</w:t>
            </w:r>
          </w:p>
        </w:tc>
      </w:tr>
      <w:tr>
        <w:trPr>
          <w:cantSplit/>
        </w:trPr>
        <w:tc>
          <w:tcPr>
            <w:tcW w:type="dxa" w:w="24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Operations Director</w:t>
            </w:r>
          </w:p>
        </w:tc>
        <w:tc>
          <w:tcPr>
            <w:tcW w:type="dxa" w:w="36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Operational matters across the three DCs; customer contract matters</w:t>
            </w:r>
          </w:p>
        </w:tc>
        <w:tc>
          <w:tcPr>
            <w:tcW w:type="dxa" w:w="37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Board-level commitments and public positions (to the CEO)</w:t>
            </w:r>
          </w:p>
        </w:tc>
      </w:tr>
      <w:tr>
        <w:trPr>
          <w:cantSplit/>
        </w:trPr>
        <w:tc>
          <w:tcPr>
            <w:tcW w:type="dxa" w:w="24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National WHS Manager</w:t>
            </w:r>
          </w:p>
        </w:tc>
        <w:tc>
          <w:tcPr>
            <w:tcW w:type="dxa" w:w="36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WHS communications across the sites, safety alerts and communications with WHS regulators, including notifications</w:t>
            </w:r>
          </w:p>
        </w:tc>
        <w:tc>
          <w:tcPr>
            <w:tcW w:type="dxa" w:w="37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Formal company positions on regulatory matters (to the CEO)</w:t>
            </w:r>
          </w:p>
        </w:tc>
      </w:tr>
      <w:tr>
        <w:trPr>
          <w:cantSplit/>
        </w:trPr>
        <w:tc>
          <w:tcPr>
            <w:tcW w:type="dxa" w:w="24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Marketing and Communications</w:t>
            </w:r>
          </w:p>
        </w:tc>
        <w:tc>
          <w:tcPr>
            <w:tcW w:type="dxa" w:w="36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External marketing, branded material, the website and social media</w:t>
            </w:r>
          </w:p>
        </w:tc>
        <w:tc>
          <w:tcPr>
            <w:tcW w:type="dxa" w:w="37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Any media response on operational matters or incidents (to the CEO)</w:t>
            </w:r>
          </w:p>
        </w:tc>
      </w:tr>
      <w:tr>
        <w:trPr>
          <w:cantSplit/>
        </w:trPr>
        <w:tc>
          <w:tcPr>
            <w:tcW w:type="dxa" w:w="24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DC Managers</w:t>
            </w:r>
          </w:p>
        </w:tc>
        <w:tc>
          <w:tcPr>
            <w:tcW w:type="dxa" w:w="36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Operational matters, routine customer service matters and approved changes at their own DC</w:t>
            </w:r>
          </w:p>
        </w:tc>
        <w:tc>
          <w:tcPr>
            <w:tcW w:type="dxa" w:w="37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Strategic announcements, workforce restructure, media and industry statements, regulators, financial commitments above their delegation, customer contract terms, other sites' plans (to the Operations Director)</w:t>
            </w:r>
          </w:p>
        </w:tc>
      </w:tr>
      <w:tr>
        <w:trPr>
          <w:cantSplit/>
        </w:trPr>
        <w:tc>
          <w:tcPr>
            <w:tcW w:type="dxa" w:w="24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Supervisors and warehouse leads</w:t>
            </w:r>
          </w:p>
        </w:tc>
        <w:tc>
          <w:tcPr>
            <w:tcW w:type="dxa" w:w="36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Daily operational direction within their work group; cascading confirmed decisions</w:t>
            </w:r>
          </w:p>
        </w:tc>
        <w:tc>
          <w:tcPr>
            <w:tcW w:type="dxa" w:w="37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Anything outside confirmed direction, and any matter with HR, customer or contractor implications (to the DC Manager)</w:t>
            </w:r>
          </w:p>
        </w:tc>
      </w:tr>
    </w:tbl>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4. Channel selection</w:t>
      </w:r>
    </w:p>
    <w:p>
      <w:pPr>
        <w:spacing w:before="0" w:after="120" w:line="276"/>
      </w:pPr>
      <w:r>
        <w:rPr>
          <w:rFonts w:ascii="Aptos" w:cs="Aptos" w:eastAsia="Aptos" w:hAnsi="Aptos"/>
          <w:color w:val="1E2833"/>
          <w:sz w:val="20"/>
          <w:szCs w:val="20"/>
        </w:rPr>
        <w:t xml:space="preserve">Choose the channel by purpose, audience, urgency, sensitivity and the need for a record. Where the matter is sensitive, complex or has personnel or commercial implications, use a meeting or face-to-face conversation rather than writing alone, then confirm the outcome in writing.</w:t>
      </w:r>
    </w:p>
    <w:p>
      <w:pPr>
        <w:keepNext/>
        <w:spacing w:before="200" w:after="80"/>
      </w:pPr>
      <w:r>
        <w:rPr>
          <w:rFonts w:ascii="Aptos Display" w:cs="Aptos Display" w:eastAsia="Aptos Display" w:hAnsi="Aptos Display"/>
          <w:b/>
          <w:bCs/>
          <w:color w:val="5E7C99"/>
          <w:sz w:val="24"/>
          <w:szCs w:val="24"/>
        </w:rPr>
        <w:t xml:space="preserve">4.1 Meetings</w:t>
      </w:r>
    </w:p>
    <w:p>
      <w:pPr>
        <w:spacing w:before="0" w:after="120" w:line="276"/>
      </w:pPr>
      <w:r>
        <w:rPr>
          <w:rFonts w:ascii="Aptos" w:cs="Aptos" w:eastAsia="Aptos" w:hAnsi="Aptos"/>
          <w:color w:val="1E2833"/>
          <w:sz w:val="20"/>
          <w:szCs w:val="20"/>
        </w:rPr>
        <w:t xml:space="preserve">Use a meeting (in person, or Teams for other sites) when a decision is needed from several people, when views must be heard before deciding, when the matter is contentious, or when you need to read reactions and build trust. Run meetings under Section 5. Hold performance, disciplinary and personal matters one to one in a private setting.</w:t>
      </w:r>
    </w:p>
    <w:p>
      <w:pPr>
        <w:keepNext/>
        <w:spacing w:before="200" w:after="80"/>
      </w:pPr>
      <w:r>
        <w:rPr>
          <w:rFonts w:ascii="Aptos Display" w:cs="Aptos Display" w:eastAsia="Aptos Display" w:hAnsi="Aptos Display"/>
          <w:b/>
          <w:bCs/>
          <w:color w:val="5E7C99"/>
          <w:sz w:val="24"/>
          <w:szCs w:val="24"/>
        </w:rPr>
        <w:t xml:space="preserve">4.2 Written communication</w:t>
      </w:r>
    </w:p>
    <w:p>
      <w:pPr>
        <w:spacing w:before="0" w:after="120" w:line="276"/>
      </w:pPr>
      <w:r>
        <w:rPr>
          <w:rFonts w:ascii="Aptos" w:cs="Aptos" w:eastAsia="Aptos" w:hAnsi="Aptos"/>
          <w:color w:val="1E2833"/>
          <w:sz w:val="20"/>
          <w:szCs w:val="20"/>
        </w:rPr>
        <w:t xml:space="preserve">Use email or other written communication when a formal record is needed (decisions, agreed actions, commitments), when information is routine and needs no discussion, or when the audience is spread across sites. SteelRiver written channels include email, Teams, the intranet and SharePoint, and noticeboards at each site. Frontline workers are also briefed at toolbox talks. Written communication about personal information follows SRL-CR-018.</w:t>
      </w: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5. Meetings</w:t>
      </w:r>
    </w:p>
    <w:p>
      <w:pPr>
        <w:spacing w:before="0" w:after="120" w:line="276"/>
      </w:pPr>
      <w:r>
        <w:rPr>
          <w:rFonts w:ascii="Aptos" w:cs="Aptos" w:eastAsia="Aptos" w:hAnsi="Aptos"/>
          <w:color w:val="1E2833"/>
          <w:sz w:val="20"/>
          <w:szCs w:val="20"/>
        </w:rPr>
        <w:t xml:space="preserve">These rules apply to SteelRiver management and working meetings. The WHS committees also follow their own constitution and charter. Use SRL-CR-076 for agendas, minutes and action registers.</w:t>
      </w:r>
    </w:p>
    <w:p>
      <w:pPr>
        <w:pStyle w:val="ListParagraph"/>
        <w:numPr>
          <w:ilvl w:val="0"/>
          <w:numId w:val="2"/>
        </w:numPr>
        <w:spacing w:after="60" w:line="264"/>
      </w:pPr>
      <w:r>
        <w:rPr>
          <w:rFonts w:ascii="Aptos" w:cs="Aptos" w:eastAsia="Aptos" w:hAnsi="Aptos"/>
          <w:color w:val="1E2833"/>
          <w:sz w:val="20"/>
          <w:szCs w:val="20"/>
        </w:rPr>
        <w:t xml:space="preserve">The convenor gives notice of the meeting and issues the agenda and papers before it.</w:t>
      </w:r>
    </w:p>
    <w:p>
      <w:pPr>
        <w:pStyle w:val="ListParagraph"/>
        <w:numPr>
          <w:ilvl w:val="0"/>
          <w:numId w:val="2"/>
        </w:numPr>
        <w:spacing w:after="60" w:line="264"/>
      </w:pPr>
      <w:r>
        <w:rPr>
          <w:rFonts w:ascii="Aptos" w:cs="Aptos" w:eastAsia="Aptos" w:hAnsi="Aptos"/>
          <w:color w:val="1E2833"/>
          <w:sz w:val="20"/>
          <w:szCs w:val="20"/>
        </w:rPr>
        <w:t xml:space="preserve">Anyone who wants an item on the agenda sends it, with any papers, to the convenor or the meeting secretary by the date set in the notice.</w:t>
      </w:r>
    </w:p>
    <w:p>
      <w:pPr>
        <w:pStyle w:val="ListParagraph"/>
        <w:numPr>
          <w:ilvl w:val="0"/>
          <w:numId w:val="2"/>
        </w:numPr>
        <w:spacing w:after="60" w:line="264"/>
      </w:pPr>
      <w:r>
        <w:rPr>
          <w:rFonts w:ascii="Aptos" w:cs="Aptos" w:eastAsia="Aptos" w:hAnsi="Aptos"/>
          <w:color w:val="1E2833"/>
          <w:sz w:val="20"/>
          <w:szCs w:val="20"/>
        </w:rPr>
        <w:t xml:space="preserve">The chair runs the meeting to the agenda. Items are presented, discussed and questioned through the chair, and the chair confirms each decision before moving on.</w:t>
      </w:r>
    </w:p>
    <w:p>
      <w:pPr>
        <w:pStyle w:val="ListParagraph"/>
        <w:numPr>
          <w:ilvl w:val="0"/>
          <w:numId w:val="2"/>
        </w:numPr>
        <w:spacing w:after="60" w:line="264"/>
      </w:pPr>
      <w:r>
        <w:rPr>
          <w:rFonts w:ascii="Aptos" w:cs="Aptos" w:eastAsia="Aptos" w:hAnsi="Aptos"/>
          <w:color w:val="1E2833"/>
          <w:sz w:val="20"/>
          <w:szCs w:val="20"/>
        </w:rPr>
        <w:t xml:space="preserve">Minutes record decisions and actions, each action with an owner and a due date, and are sent to attendees after the meeting.</w:t>
      </w: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6. Approval and escalation flow</w:t>
      </w:r>
    </w:p>
    <w:p>
      <w:pPr>
        <w:spacing w:before="0" w:after="120" w:line="276"/>
      </w:pPr>
      <w:r>
        <w:rPr>
          <w:rFonts w:ascii="Aptos" w:cs="Aptos" w:eastAsia="Aptos" w:hAnsi="Aptos"/>
          <w:color w:val="1E2833"/>
          <w:sz w:val="20"/>
          <w:szCs w:val="20"/>
        </w:rPr>
        <w:t xml:space="preserve">Any communication outside a role's authority in Section 3 must be approved before release. The standard flow is:</w:t>
      </w:r>
    </w:p>
    <w:p>
      <w:pPr>
        <w:pStyle w:val="ListParagraph"/>
        <w:numPr>
          <w:ilvl w:val="0"/>
          <w:numId w:val="3"/>
        </w:numPr>
        <w:spacing w:after="60" w:line="264"/>
      </w:pPr>
      <w:r>
        <w:rPr>
          <w:rFonts w:ascii="Aptos" w:cs="Aptos" w:eastAsia="Aptos" w:hAnsi="Aptos"/>
          <w:b/>
          <w:bCs/>
          <w:color w:val="1E2833"/>
          <w:sz w:val="20"/>
          <w:szCs w:val="20"/>
        </w:rPr>
        <w:t xml:space="preserve">Draft</w:t>
      </w:r>
      <w:r>
        <w:rPr>
          <w:rFonts w:ascii="Aptos" w:cs="Aptos" w:eastAsia="Aptos" w:hAnsi="Aptos"/>
          <w:color w:val="1E2833"/>
          <w:sz w:val="20"/>
          <w:szCs w:val="20"/>
        </w:rPr>
        <w:t xml:space="preserve"> the communication and identify the authority who must sign it off (Section 3, and SRL-CR-002 for delegations).</w:t>
      </w:r>
    </w:p>
    <w:p>
      <w:pPr>
        <w:pStyle w:val="ListParagraph"/>
        <w:numPr>
          <w:ilvl w:val="0"/>
          <w:numId w:val="3"/>
        </w:numPr>
        <w:spacing w:after="60" w:line="264"/>
      </w:pPr>
      <w:r>
        <w:rPr>
          <w:rFonts w:ascii="Aptos" w:cs="Aptos" w:eastAsia="Aptos" w:hAnsi="Aptos"/>
          <w:b/>
          <w:bCs/>
          <w:color w:val="1E2833"/>
          <w:sz w:val="20"/>
          <w:szCs w:val="20"/>
        </w:rPr>
        <w:t xml:space="preserve">Submit</w:t>
      </w:r>
      <w:r>
        <w:rPr>
          <w:rFonts w:ascii="Aptos" w:cs="Aptos" w:eastAsia="Aptos" w:hAnsi="Aptos"/>
          <w:color w:val="1E2833"/>
          <w:sz w:val="20"/>
          <w:szCs w:val="20"/>
        </w:rPr>
        <w:t xml:space="preserve"> it for review to that authority with the audience, purpose, proposed channel and timing.</w:t>
      </w:r>
    </w:p>
    <w:p>
      <w:pPr>
        <w:pStyle w:val="ListParagraph"/>
        <w:numPr>
          <w:ilvl w:val="0"/>
          <w:numId w:val="3"/>
        </w:numPr>
        <w:spacing w:after="60" w:line="264"/>
      </w:pPr>
      <w:r>
        <w:rPr>
          <w:rFonts w:ascii="Aptos" w:cs="Aptos" w:eastAsia="Aptos" w:hAnsi="Aptos"/>
          <w:b/>
          <w:bCs/>
          <w:color w:val="1E2833"/>
          <w:sz w:val="20"/>
          <w:szCs w:val="20"/>
        </w:rPr>
        <w:t xml:space="preserve">Incorporate feedback</w:t>
      </w:r>
      <w:r>
        <w:rPr>
          <w:rFonts w:ascii="Aptos" w:cs="Aptos" w:eastAsia="Aptos" w:hAnsi="Aptos"/>
          <w:color w:val="1E2833"/>
          <w:sz w:val="20"/>
          <w:szCs w:val="20"/>
        </w:rPr>
        <w:t xml:space="preserve"> and obtain sign-off before release. Confirm verbal sign-off by email.</w:t>
      </w:r>
    </w:p>
    <w:p>
      <w:pPr>
        <w:pStyle w:val="ListParagraph"/>
        <w:numPr>
          <w:ilvl w:val="0"/>
          <w:numId w:val="3"/>
        </w:numPr>
        <w:spacing w:after="60" w:line="264"/>
      </w:pPr>
      <w:r>
        <w:rPr>
          <w:rFonts w:ascii="Aptos" w:cs="Aptos" w:eastAsia="Aptos" w:hAnsi="Aptos"/>
          <w:b/>
          <w:bCs/>
          <w:color w:val="1E2833"/>
          <w:sz w:val="20"/>
          <w:szCs w:val="20"/>
        </w:rPr>
        <w:t xml:space="preserve">Release</w:t>
      </w:r>
      <w:r>
        <w:rPr>
          <w:rFonts w:ascii="Aptos" w:cs="Aptos" w:eastAsia="Aptos" w:hAnsi="Aptos"/>
          <w:color w:val="1E2833"/>
          <w:sz w:val="20"/>
          <w:szCs w:val="20"/>
        </w:rPr>
        <w:t xml:space="preserve"> the communication through the agreed channel.</w:t>
      </w:r>
    </w:p>
    <w:p>
      <w:pPr>
        <w:pStyle w:val="ListParagraph"/>
        <w:numPr>
          <w:ilvl w:val="0"/>
          <w:numId w:val="3"/>
        </w:numPr>
        <w:spacing w:after="60" w:line="264"/>
      </w:pPr>
      <w:r>
        <w:rPr>
          <w:rFonts w:ascii="Aptos" w:cs="Aptos" w:eastAsia="Aptos" w:hAnsi="Aptos"/>
          <w:b/>
          <w:bCs/>
          <w:color w:val="1E2833"/>
          <w:sz w:val="20"/>
          <w:szCs w:val="20"/>
        </w:rPr>
        <w:t xml:space="preserve">Confirm receipt</w:t>
      </w:r>
      <w:r>
        <w:rPr>
          <w:rFonts w:ascii="Aptos" w:cs="Aptos" w:eastAsia="Aptos" w:hAnsi="Aptos"/>
          <w:color w:val="1E2833"/>
          <w:sz w:val="20"/>
          <w:szCs w:val="20"/>
        </w:rPr>
        <w:t xml:space="preserve"> and follow up where needed.</w:t>
      </w:r>
    </w:p>
    <w:p>
      <w:pPr>
        <w:pStyle w:val="ListParagraph"/>
        <w:numPr>
          <w:ilvl w:val="0"/>
          <w:numId w:val="3"/>
        </w:numPr>
        <w:spacing w:after="60" w:line="264"/>
      </w:pPr>
      <w:r>
        <w:rPr>
          <w:rFonts w:ascii="Aptos" w:cs="Aptos" w:eastAsia="Aptos" w:hAnsi="Aptos"/>
          <w:b/>
          <w:bCs/>
          <w:color w:val="1E2833"/>
          <w:sz w:val="20"/>
          <w:szCs w:val="20"/>
        </w:rPr>
        <w:t xml:space="preserve">Record</w:t>
      </w:r>
      <w:r>
        <w:rPr>
          <w:rFonts w:ascii="Aptos" w:cs="Aptos" w:eastAsia="Aptos" w:hAnsi="Aptos"/>
          <w:color w:val="1E2833"/>
          <w:sz w:val="20"/>
          <w:szCs w:val="20"/>
        </w:rPr>
        <w:t xml:space="preserve"> the communication and the approval (for example in SharePoint).</w:t>
      </w:r>
    </w:p>
    <w:tbl>
      <w:tblPr>
        <w:tblW w:type="dxa" w:w="9752"/>
        <w:tblBorders>
          <w:top w:val="single" w:color="auto" w:sz="4"/>
          <w:left w:val="single" w:color="auto" w:sz="4"/>
          <w:bottom w:val="single" w:color="auto" w:sz="4"/>
          <w:right w:val="single" w:color="auto" w:sz="4"/>
          <w:insideH w:val="single" w:color="auto" w:sz="4"/>
          <w:insideV w:val="single" w:color="auto" w:sz="4"/>
        </w:tblBorders>
      </w:tblPr>
      <w:tblGrid>
        <w:gridCol w:w="9752"/>
      </w:tblGrid>
      <w:tr>
        <w:trPr>
          <w:cantSplit/>
        </w:trPr>
        <w:tc>
          <w:tcPr>
            <w:tcBorders>
              <w:top w:val="none" w:color="FFFFFF" w:sz="0"/>
              <w:left w:val="single" w:color="F2A900" w:sz="30"/>
              <w:bottom w:val="none" w:color="FFFFFF" w:sz="0"/>
              <w:right w:val="none" w:color="FFFFFF" w:sz="0"/>
            </w:tcBorders>
            <w:shd w:fill="FFF6DB" w:color="auto" w:val="clear"/>
            <w:tcMar>
              <w:top w:type="dxa" w:w="140"/>
              <w:left w:type="dxa" w:w="220"/>
              <w:bottom w:type="dxa" w:w="100"/>
              <w:right w:type="dxa" w:w="200"/>
            </w:tcMar>
          </w:tcPr>
          <w:p>
            <w:pPr>
              <w:spacing w:before="0" w:after="60" w:line="276"/>
            </w:pPr>
            <w:r>
              <w:rPr>
                <w:rFonts w:ascii="Aptos" w:cs="Aptos" w:eastAsia="Aptos" w:hAnsi="Aptos"/>
                <w:b/>
                <w:bCs/>
                <w:color w:val="013056"/>
                <w:sz w:val="21"/>
                <w:szCs w:val="21"/>
              </w:rPr>
              <w:t xml:space="preserve">Urgent communications</w:t>
            </w:r>
          </w:p>
          <w:p>
            <w:pPr>
              <w:spacing w:before="0" w:after="60" w:line="276"/>
            </w:pPr>
            <w:r>
              <w:rPr>
                <w:rFonts w:ascii="Aptos" w:cs="Aptos" w:eastAsia="Aptos" w:hAnsi="Aptos"/>
                <w:color w:val="1E2833"/>
                <w:sz w:val="20"/>
                <w:szCs w:val="20"/>
              </w:rPr>
              <w:t xml:space="preserve">Where a communication is urgent and the standard sign-off route is not available, contact the Operations Director directly and confirm the approved position in writing as soon as practicable. For a serious incident, the National WHS Manager is contacted at the same time.</w:t>
            </w:r>
          </w:p>
        </w:tc>
      </w:tr>
    </w:tbl>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7. Document control</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7152"/>
      </w:tblGrid>
      <w:tr>
        <w:trPr>
          <w:cantSplit/>
          <w:tblHeader/>
        </w:trPr>
        <w:tc>
          <w:tcPr>
            <w:tcW w:type="dxa" w:w="26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Field</w:t>
            </w:r>
          </w:p>
        </w:tc>
        <w:tc>
          <w:tcPr>
            <w:tcW w:type="dxa" w:w="7152"/>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Detail</w:t>
            </w:r>
          </w:p>
        </w:tc>
      </w:tr>
      <w:tr>
        <w:trPr>
          <w:cantSplit/>
        </w:trPr>
        <w:tc>
          <w:tcPr>
            <w:tcW w:type="dxa" w:w="26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Document number and title</w:t>
            </w:r>
          </w:p>
        </w:tc>
        <w:tc>
          <w:tcPr>
            <w:tcW w:type="dxa" w:w="71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SRL-CR-017 Communication Framework and Stakeholder Engagement</w:t>
            </w:r>
          </w:p>
        </w:tc>
      </w:tr>
      <w:tr>
        <w:trPr>
          <w:cantSplit/>
        </w:trPr>
        <w:tc>
          <w:tcPr>
            <w:tcW w:type="dxa" w:w="26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Version and effective date</w:t>
            </w:r>
          </w:p>
        </w:tc>
        <w:tc>
          <w:tcPr>
            <w:tcW w:type="dxa" w:w="71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Version 2.0, 3 March 2025</w:t>
            </w:r>
          </w:p>
        </w:tc>
      </w:tr>
      <w:tr>
        <w:trPr>
          <w:cantSplit/>
        </w:trPr>
        <w:tc>
          <w:tcPr>
            <w:tcW w:type="dxa" w:w="26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Review date</w:t>
            </w:r>
          </w:p>
        </w:tc>
        <w:tc>
          <w:tcPr>
            <w:tcW w:type="dxa" w:w="71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March 2027, or earlier if the organisation structure, delegations or law change</w:t>
            </w:r>
          </w:p>
        </w:tc>
      </w:tr>
      <w:tr>
        <w:trPr>
          <w:cantSplit/>
        </w:trPr>
        <w:tc>
          <w:tcPr>
            <w:tcW w:type="dxa" w:w="26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Owner</w:t>
            </w:r>
          </w:p>
        </w:tc>
        <w:tc>
          <w:tcPr>
            <w:tcW w:type="dxa" w:w="71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Operations Director</w:t>
            </w:r>
          </w:p>
        </w:tc>
      </w:tr>
      <w:tr>
        <w:trPr>
          <w:cantSplit/>
        </w:trPr>
        <w:tc>
          <w:tcPr>
            <w:tcW w:type="dxa" w:w="26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Approver</w:t>
            </w:r>
          </w:p>
        </w:tc>
        <w:tc>
          <w:tcPr>
            <w:tcW w:type="dxa" w:w="71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Rajesh Iyengar, Chief Executive Officer</w:t>
            </w:r>
          </w:p>
        </w:tc>
      </w:tr>
      <w:tr>
        <w:trPr>
          <w:cantSplit/>
        </w:trPr>
        <w:tc>
          <w:tcPr>
            <w:tcW w:type="dxa" w:w="26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Related documents</w:t>
            </w:r>
          </w:p>
        </w:tc>
        <w:tc>
          <w:tcPr>
            <w:tcW w:type="dxa" w:w="71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SRL-CR-002 Organisational Chart, Position Descriptions and Delegations; SRL-CR-018 Information Privacy and Confidentiality Policy; SRL-CR-019 Document Control and Records Management Policy; SRL-CR-031 WHS Consultation and Participation Procedure; SRL-CR-076 Committee Meeting Agenda, Minutes and Action Register Template</w:t>
            </w:r>
          </w:p>
        </w:tc>
      </w:tr>
    </w:tbl>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Document history</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1700"/>
        <w:gridCol w:w="4800"/>
        <w:gridCol w:w="2152"/>
      </w:tblGrid>
      <w:tr>
        <w:trPr>
          <w:cantSplit/>
          <w:tblHeader/>
        </w:trPr>
        <w:tc>
          <w:tcPr>
            <w:tcW w:type="dxa" w:w="11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Version</w:t>
            </w:r>
          </w:p>
        </w:tc>
        <w:tc>
          <w:tcPr>
            <w:tcW w:type="dxa" w:w="17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Date</w:t>
            </w:r>
          </w:p>
        </w:tc>
        <w:tc>
          <w:tcPr>
            <w:tcW w:type="dxa" w:w="48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Summary of change</w:t>
            </w:r>
          </w:p>
        </w:tc>
        <w:tc>
          <w:tcPr>
            <w:tcW w:type="dxa" w:w="2152"/>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Approved by</w:t>
            </w:r>
          </w:p>
        </w:tc>
      </w:tr>
      <w:tr>
        <w:trPr>
          <w:cantSplit/>
        </w:trPr>
        <w:tc>
          <w:tcPr>
            <w:tcW w:type="dxa" w:w="11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2.0</w:t>
            </w:r>
          </w:p>
        </w:tc>
        <w:tc>
          <w:tcPr>
            <w:tcW w:type="dxa" w:w="17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3 March 2025</w:t>
            </w:r>
          </w:p>
        </w:tc>
        <w:tc>
          <w:tcPr>
            <w:tcW w:type="dxa" w:w="48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Stakeholder map and authority matrix updated; approval and escalation flow added.</w:t>
            </w:r>
          </w:p>
        </w:tc>
        <w:tc>
          <w:tcPr>
            <w:tcW w:type="dxa" w:w="21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Rajesh Iyengar</w:t>
            </w:r>
          </w:p>
        </w:tc>
      </w:tr>
      <w:tr>
        <w:trPr>
          <w:cantSplit/>
        </w:trPr>
        <w:tc>
          <w:tcPr>
            <w:tcW w:type="dxa" w:w="11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1.0</w:t>
            </w:r>
          </w:p>
        </w:tc>
        <w:tc>
          <w:tcPr>
            <w:tcW w:type="dxa" w:w="17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12 April 2021</w:t>
            </w:r>
          </w:p>
        </w:tc>
        <w:tc>
          <w:tcPr>
            <w:tcW w:type="dxa" w:w="48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First issue.</w:t>
            </w:r>
          </w:p>
        </w:tc>
        <w:tc>
          <w:tcPr>
            <w:tcW w:type="dxa" w:w="21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Rajesh Iyengar</w:t>
            </w:r>
          </w:p>
        </w:tc>
      </w:tr>
    </w:tbl>
    <w:sectPr>
      <w:headerReference w:type="default" r:id="rId6"/>
      <w:headerReference w:type="first" r:id="rId7"/>
      <w:footerReference w:type="default" r:id="rId8"/>
      <w:footerReference w:type="first" r:id="rId9"/>
      <w:pgSz w:w="11906" w:h="16838" w:orient="portrait"/>
      <w:pgMar w:top="1000" w:right="1077" w:bottom="1100" w:left="1077" w:header="480" w:footer="400"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5D2DE" w:sz="4" w:space="6"/>
      </w:pBdr>
      <w:tabs>
        <w:tab w:val="right" w:pos="9752"/>
      </w:tabs>
    </w:pPr>
    <w:r>
      <w:rPr>
        <w:rFonts w:ascii="Aptos" w:cs="Aptos" w:eastAsia="Aptos" w:hAnsi="Aptos"/>
        <w:color w:val="5F6B77"/>
        <w:sz w:val="14"/>
        <w:szCs w:val="14"/>
      </w:rPr>
      <w:t xml:space="preserve">SteelRiver Logistics Pty Ltd  ·  SRL-CR-017 Version 2.0  ·  Uncontrolled when printed</w:t>
    </w:r>
    <w:r>
      <w:rPr>
        <w:rFonts w:ascii="Aptos" w:cs="Aptos" w:eastAsia="Aptos" w:hAnsi="Aptos"/>
        <w:color w:val="013056"/>
        <w:sz w:val="14"/>
        <w:szCs w:val="14"/>
      </w:rPr>
      <w:t xml:space="preserve">	Page </w:t>
    </w:r>
    <w:r>
      <w:rPr>
        <w:rFonts w:ascii="Aptos" w:cs="Aptos" w:eastAsia="Aptos" w:hAnsi="Aptos"/>
        <w:b/>
        <w:bCs/>
        <w:color w:val="013056"/>
        <w:sz w:val="14"/>
        <w:szCs w:val="14"/>
      </w:rPr>
      <w:fldChar w:fldCharType="begin"/>
      <w:instrText xml:space="preserve">PAGE</w:instrText>
      <w:fldChar w:fldCharType="separate"/>
      <w:fldChar w:fldCharType="end"/>
    </w:r>
    <w:r>
      <w:rPr>
        <w:rFonts w:ascii="Aptos" w:cs="Aptos" w:eastAsia="Aptos" w:hAnsi="Aptos"/>
        <w:color w:val="013056"/>
        <w:sz w:val="14"/>
        <w:szCs w:val="14"/>
      </w:rPr>
      <w:t xml:space="preserve"> of </w:t>
    </w:r>
    <w:r>
      <w:rPr>
        <w:rFonts w:ascii="Aptos" w:cs="Aptos" w:eastAsia="Aptos" w:hAnsi="Aptos"/>
        <w:b/>
        <w:bCs/>
        <w:color w:val="013056"/>
        <w:sz w:val="14"/>
        <w:szCs w:val="14"/>
      </w:rPr>
      <w:fldChar w:fldCharType="begin"/>
      <w:instrText xml:space="preserve">NUMPAGES</w:instrText>
      <w:fldChar w:fldCharType="separate"/>
      <w:fldChar w:fldCharType="end"/>
    </w:r>
  </w:p>
  <w:p>
    <w:pPr>
      <w:spacing w:before="0" w:after="0" w:line="276"/>
    </w:pPr>
    <w:r>
      <w:rPr>
        <w:rFonts w:ascii="Aptos" w:cs="Aptos" w:eastAsia="Aptos" w:hAnsi="Aptos"/>
        <w:i/>
        <w:iCs/>
        <w:color w:val="5E7C99"/>
        <w:sz w:val="13"/>
        <w:szCs w:val="13"/>
      </w:rPr>
      <w:t xml:space="preserve">Simulated organisation. Created by Training Worx Australia (RTO 52508) for assessment purposes only.</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5D2DE" w:sz="4" w:space="6"/>
      </w:pBdr>
      <w:tabs>
        <w:tab w:val="right" w:pos="9752"/>
      </w:tabs>
    </w:pPr>
    <w:r>
      <w:rPr>
        <w:rFonts w:ascii="Aptos" w:cs="Aptos" w:eastAsia="Aptos" w:hAnsi="Aptos"/>
        <w:color w:val="5F6B77"/>
        <w:sz w:val="14"/>
        <w:szCs w:val="14"/>
      </w:rPr>
      <w:t xml:space="preserve">SteelRiver Logistics Pty Ltd  ·  SRL-CR-017 Version 2.0  ·  Uncontrolled when printed</w:t>
    </w:r>
    <w:r>
      <w:rPr>
        <w:rFonts w:ascii="Aptos" w:cs="Aptos" w:eastAsia="Aptos" w:hAnsi="Aptos"/>
        <w:color w:val="013056"/>
        <w:sz w:val="14"/>
        <w:szCs w:val="14"/>
      </w:rPr>
      <w:t xml:space="preserve">	Page </w:t>
    </w:r>
    <w:r>
      <w:rPr>
        <w:rFonts w:ascii="Aptos" w:cs="Aptos" w:eastAsia="Aptos" w:hAnsi="Aptos"/>
        <w:b/>
        <w:bCs/>
        <w:color w:val="013056"/>
        <w:sz w:val="14"/>
        <w:szCs w:val="14"/>
      </w:rPr>
      <w:fldChar w:fldCharType="begin"/>
      <w:instrText xml:space="preserve">PAGE</w:instrText>
      <w:fldChar w:fldCharType="separate"/>
      <w:fldChar w:fldCharType="end"/>
    </w:r>
    <w:r>
      <w:rPr>
        <w:rFonts w:ascii="Aptos" w:cs="Aptos" w:eastAsia="Aptos" w:hAnsi="Aptos"/>
        <w:color w:val="013056"/>
        <w:sz w:val="14"/>
        <w:szCs w:val="14"/>
      </w:rPr>
      <w:t xml:space="preserve"> of </w:t>
    </w:r>
    <w:r>
      <w:rPr>
        <w:rFonts w:ascii="Aptos" w:cs="Aptos" w:eastAsia="Aptos" w:hAnsi="Aptos"/>
        <w:b/>
        <w:bCs/>
        <w:color w:val="013056"/>
        <w:sz w:val="14"/>
        <w:szCs w:val="14"/>
      </w:rPr>
      <w:fldChar w:fldCharType="begin"/>
      <w:instrText xml:space="preserve">NUMPAGES</w:instrText>
      <w:fldChar w:fldCharType="separate"/>
      <w:fldChar w:fldCharType="end"/>
    </w:r>
  </w:p>
  <w:p>
    <w:pPr>
      <w:spacing w:before="0" w:after="0" w:line="276"/>
    </w:pPr>
    <w:r>
      <w:rPr>
        <w:rFonts w:ascii="Aptos" w:cs="Aptos" w:eastAsia="Aptos" w:hAnsi="Aptos"/>
        <w:i/>
        <w:iCs/>
        <w:color w:val="5E7C99"/>
        <w:sz w:val="13"/>
        <w:szCs w:val="13"/>
      </w:rPr>
      <w:t xml:space="preserve">Simulated organisation. Created by Training Worx Australia (RTO 52508) for assessment purposes only.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013056" w:sz="6" w:space="6"/>
      </w:pBdr>
      <w:tabs>
        <w:tab w:val="right" w:pos="9752"/>
      </w:tabs>
    </w:pPr>
    <w:r>
      <w:drawing>
        <wp:inline distT="0" distB="0" distL="0" distR="0">
          <wp:extent cx="161925" cy="190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61925" cy="190500"/>
                  </a:xfrm>
                  <a:prstGeom prst="rect">
                    <a:avLst/>
                  </a:prstGeom>
                </pic:spPr>
              </pic:pic>
            </a:graphicData>
          </a:graphic>
        </wp:inline>
      </w:drawing>
    </w:r>
    <w:r>
      <w:rPr>
        <w:rFonts w:ascii="Aptos" w:cs="Aptos" w:eastAsia="Aptos" w:hAnsi="Aptos"/>
        <w:b/>
        <w:bCs/>
        <w:color w:val="013056"/>
        <w:sz w:val="17"/>
        <w:szCs w:val="17"/>
      </w:rPr>
      <w:t xml:space="preserve">  SteelRiver Logistics</w:t>
    </w:r>
    <w:r>
      <w:rPr>
        <w:rFonts w:ascii="Aptos" w:cs="Aptos" w:eastAsia="Aptos" w:hAnsi="Aptos"/>
        <w:color w:val="5F6B77"/>
        <w:sz w:val="16"/>
        <w:szCs w:val="16"/>
      </w:rPr>
      <w:t xml:space="preserve">	SRL-CR-017  ·  Communication Framework and Stakeholder Engagement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rPr>
        <w:color w:val="5E7C99"/>
        <w:sz w:val="14"/>
        <w:szCs w:val="14"/>
      </w:rPr>
    </w:lvl>
    <w:lvl w:ilvl="1" w15:tentative="1">
      <w:start w:val="1"/>
      <w:numFmt w:val="bullet"/>
      <w:lvlText w:val="–"/>
      <w:lvlJc w:val="left"/>
      <w:pPr>
        <w:ind w:left="720" w:hanging="260"/>
      </w:pPr>
      <w:rPr>
        <w:color w:val="5E7C99"/>
      </w:rPr>
    </w:lvl>
  </w:abstractNum>
  <w:abstractNum w:abstractNumId="3" w15:restartNumberingAfterBreak="0">
    <w:multiLevelType w:val="hybridMultilevel"/>
    <w:lvl w:ilvl="0" w15:tentative="1">
      <w:start w:val="1"/>
      <w:numFmt w:val="decimal"/>
      <w:lvlText w:val="%1."/>
      <w:lvlJc w:val="left"/>
      <w:pPr>
        <w:ind w:left="400" w:hanging="300"/>
      </w:pPr>
      <w:rPr>
        <w:b/>
        <w:bCs/>
        <w:color w:val="013056"/>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E2833"/>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image" Target="media/f0f522d953708057eaf47c9f07cc03c6d7f53fc0.png"/><Relationship Id="rId11"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58cfb3180d16a8eee545abda86cd4375cdc466e6.png"/></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SRL-CR-017 Communication Framework and Stakeholder Engagement</dc:title>
  <dc:creator>SteelRiver Logistics Pty Ltd</dc:creator>
  <cp:lastModifiedBy>Un-named</cp:lastModifiedBy>
  <cp:revision>1</cp:revision>
  <dcterms:created xsi:type="dcterms:W3CDTF">2026-11-01T14:27:17.982Z</dcterms:created>
  <dcterms:modified xsi:type="dcterms:W3CDTF">2026-11-01T14:27:17.989Z</dcterms:modified>
</cp:coreProperties>
</file>

<file path=docProps/custom.xml><?xml version="1.0" encoding="utf-8"?>
<Properties xmlns="http://schemas.openxmlformats.org/officeDocument/2006/custom-properties" xmlns:vt="http://schemas.openxmlformats.org/officeDocument/2006/docPropsVTypes"/>
</file>