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POLICY</w:t>
            </w:r>
          </w:p>
          <w:p>
            <w:pPr>
              <w:spacing w:after="0"/>
              <w:jc w:val="right"/>
            </w:pPr>
            <w:r>
              <w:rPr>
                <w:rFonts w:ascii="Aptos Display" w:cs="Aptos Display" w:eastAsia="Aptos Display" w:hAnsi="Aptos Display"/>
                <w:b/>
                <w:bCs/>
                <w:color w:val="013056"/>
                <w:sz w:val="36"/>
                <w:szCs w:val="36"/>
              </w:rPr>
              <w:t xml:space="preserve">SRL-CR-018</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Information Privacy and Confidentiality Policy</w:t>
      </w:r>
    </w:p>
    <w:p>
      <w:pPr>
        <w:spacing w:before="0" w:after="160" w:line="276"/>
      </w:pPr>
      <w:r>
        <w:rPr>
          <w:rFonts w:ascii="Aptos" w:cs="Aptos" w:eastAsia="Aptos" w:hAnsi="Aptos"/>
          <w:color w:val="5E7C99"/>
          <w:sz w:val="24"/>
          <w:szCs w:val="24"/>
        </w:rPr>
        <w:t xml:space="preserve">How SteelRiver collects, uses, shares, protects and disposes of personal and confidential information</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SRL-CR-018</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2.2</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Lila Petrov, Head of People and Culture and Privacy Officer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July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Rajesh Iyengar, Chief Executive Officer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July 2027</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workers (employees, casuals, labour hire workers and contractors), all sites and all records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 and scope</w:t>
      </w:r>
    </w:p>
    <w:p>
      <w:pPr>
        <w:spacing w:before="0" w:after="120" w:line="276"/>
      </w:pPr>
      <w:r>
        <w:rPr>
          <w:rFonts w:ascii="Aptos" w:cs="Aptos" w:eastAsia="Aptos" w:hAnsi="Aptos"/>
          <w:color w:val="1E2833"/>
          <w:sz w:val="20"/>
          <w:szCs w:val="20"/>
        </w:rPr>
        <w:t xml:space="preserve">SteelRiver Logistics Pty Ltd (SteelRiver) holds personal information about its workers, visitors, customers' staff and others, including health information and WHS records. This Policy sets the rules for collecting, using, sharing, storing, correcting and disposing of that information, and for keeping it confidential.</w:t>
      </w:r>
    </w:p>
    <w:p>
      <w:pPr>
        <w:spacing w:before="0" w:after="120" w:line="276"/>
      </w:pPr>
      <w:r>
        <w:rPr>
          <w:rFonts w:ascii="Aptos" w:cs="Aptos" w:eastAsia="Aptos" w:hAnsi="Aptos"/>
          <w:color w:val="1E2833"/>
          <w:sz w:val="20"/>
          <w:szCs w:val="20"/>
        </w:rPr>
        <w:t xml:space="preserve">The Policy supports SteelRiver's obligations under the Privacy Act 1988 (Cth) and the Australian Privacy Principles (APPs), and WHS laws (including the Work Health and Safety Act 2020 (WA) and the Work Health and Safety (General) Regulations 2022 (WA) at the Perth DC and head office) on health monitoring records and HSR access to information. SteelRiver applies these rules to all personal information it holds about any worker (employees, labour hire workers and contractors). Commercial and other business information is covered by the Information Confidentiality Policy.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7352"/>
      </w:tblGrid>
      <w:tr>
        <w:trPr>
          <w:cantSplit/>
          <w:tblHeader/>
        </w:trPr>
        <w:tc>
          <w:tcPr>
            <w:tcW w:type="dxa" w:w="2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Term</w:t>
            </w:r>
          </w:p>
        </w:tc>
        <w:tc>
          <w:tcPr>
            <w:tcW w:type="dxa" w:w="73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Meaning in this Policy</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Personal information</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Information or an opinion about an identified person, or a person who can reasonably be identified, whether true or not.</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Sensitive information</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Health information (including injury, illness, psychological health, health monitoring results and EAP use), and information about racial or ethnic origin, religion, union membership or criminal record. Sensitive information has stricter rules.</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Need to know</w:t>
            </w:r>
          </w:p>
        </w:tc>
        <w:tc>
          <w:tcPr>
            <w:tcW w:type="dxa" w:w="73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 person needs the information to do their job. Being curious, senior or affected is not on its own a need to know.</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De-identified</w:t>
            </w:r>
          </w:p>
        </w:tc>
        <w:tc>
          <w:tcPr>
            <w:tcW w:type="dxa" w:w="73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Information from which no individual can reasonably be identified.</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Information covered</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800"/>
        <w:gridCol w:w="3552"/>
      </w:tblGrid>
      <w:tr>
        <w:trPr>
          <w:cantSplit/>
          <w:tblHeader/>
        </w:trPr>
        <w:tc>
          <w:tcPr>
            <w:tcW w:type="dxa" w:w="24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Category</w:t>
            </w:r>
          </w:p>
        </w:tc>
        <w:tc>
          <w:tcPr>
            <w:tcW w:type="dxa" w:w="3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Examples</w:t>
            </w:r>
          </w:p>
        </w:tc>
        <w:tc>
          <w:tcPr>
            <w:tcW w:type="dxa" w:w="35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Handling</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Personal information</w:t>
            </w:r>
          </w:p>
        </w:tc>
        <w:tc>
          <w:tcPr>
            <w:tcW w:type="dxa" w:w="3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Names linked to roles or decisions, home addresses, contact details, dates of birth, payroll and bank details, emergency contacts, licence numbers, training records, performance and disciplinary records</w:t>
            </w:r>
          </w:p>
        </w:tc>
        <w:tc>
          <w:tcPr>
            <w:tcW w:type="dxa" w:w="3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Need to know only. Held in access-controlled systems (SRL HR system, MyOSH). Not discussed in open areas.</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Health and other sensitive information</w:t>
            </w:r>
          </w:p>
        </w:tc>
        <w:tc>
          <w:tcPr>
            <w:tcW w:type="dxa" w:w="3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Injury, illness, disability or medical conditions, health monitoring results (for example audiometric tests), workers' compensation claims, EAP use</w:t>
            </w:r>
          </w:p>
        </w:tc>
        <w:tc>
          <w:tcPr>
            <w:tcW w:type="dxa" w:w="3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Held by People and Culture. Shared only with the worker's consent, unless the law requires or allows disclosure. No names or medical details in hazard registers, committee papers or consultation notes.</w:t>
            </w:r>
          </w:p>
        </w:tc>
      </w:tr>
      <w:tr>
        <w:trPr>
          <w:cantSplit/>
        </w:trPr>
        <w:tc>
          <w:tcPr>
            <w:tcW w:type="dxa" w:w="24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records</w:t>
            </w:r>
          </w:p>
        </w:tc>
        <w:tc>
          <w:tcPr>
            <w:tcW w:type="dxa" w:w="3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Incident, injury and investigation reports, hazard reports, WHS issues and concerns raised by workers or HSRs, consultation records</w:t>
            </w:r>
          </w:p>
        </w:tc>
        <w:tc>
          <w:tcPr>
            <w:tcW w:type="dxa" w:w="3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Held in MyOSH. Identifiable information seen only by the people handling the matter. Reported to wider audiences in de-identified form.</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Sharing and disclosure</w:t>
      </w:r>
    </w:p>
    <w:p>
      <w:pPr>
        <w:pStyle w:val="ListParagraph"/>
        <w:numPr>
          <w:ilvl w:val="0"/>
          <w:numId w:val="2"/>
        </w:numPr>
        <w:spacing w:after="60" w:line="264"/>
      </w:pPr>
      <w:r>
        <w:rPr>
          <w:rFonts w:ascii="Aptos" w:cs="Aptos" w:eastAsia="Aptos" w:hAnsi="Aptos"/>
          <w:color w:val="1E2833"/>
          <w:sz w:val="20"/>
          <w:szCs w:val="20"/>
        </w:rPr>
        <w:t xml:space="preserve">Share personal information on a need-to-know basis. Even inside SteelRiver, not everyone is entitled to all information.</w:t>
      </w:r>
    </w:p>
    <w:p>
      <w:pPr>
        <w:pStyle w:val="ListParagraph"/>
        <w:numPr>
          <w:ilvl w:val="0"/>
          <w:numId w:val="2"/>
        </w:numPr>
        <w:spacing w:after="60" w:line="264"/>
      </w:pPr>
      <w:r>
        <w:rPr>
          <w:rFonts w:ascii="Aptos" w:cs="Aptos" w:eastAsia="Aptos" w:hAnsi="Aptos"/>
          <w:color w:val="1E2833"/>
          <w:sz w:val="20"/>
          <w:szCs w:val="20"/>
        </w:rPr>
        <w:t xml:space="preserve">Share another worker's personal information only with their consent or another lawful basis.</w:t>
      </w:r>
    </w:p>
    <w:p>
      <w:pPr>
        <w:pStyle w:val="ListParagraph"/>
        <w:numPr>
          <w:ilvl w:val="0"/>
          <w:numId w:val="2"/>
        </w:numPr>
        <w:spacing w:after="60" w:line="264"/>
      </w:pPr>
      <w:r>
        <w:rPr>
          <w:rFonts w:ascii="Aptos" w:cs="Aptos" w:eastAsia="Aptos" w:hAnsi="Aptos"/>
          <w:color w:val="1E2833"/>
          <w:sz w:val="20"/>
          <w:szCs w:val="20"/>
        </w:rPr>
        <w:t xml:space="preserve">HSRs are not given personal or medical information about a worker without the worker's consent, unless it is in a form that does not identify the worker.</w:t>
      </w:r>
    </w:p>
    <w:p>
      <w:pPr>
        <w:pStyle w:val="ListParagraph"/>
        <w:numPr>
          <w:ilvl w:val="0"/>
          <w:numId w:val="2"/>
        </w:numPr>
        <w:spacing w:after="60" w:line="264"/>
      </w:pPr>
      <w:r>
        <w:rPr>
          <w:rFonts w:ascii="Aptos" w:cs="Aptos" w:eastAsia="Aptos" w:hAnsi="Aptos"/>
          <w:color w:val="1E2833"/>
          <w:sz w:val="20"/>
          <w:szCs w:val="20"/>
        </w:rPr>
        <w:t xml:space="preserve">Personal information about workers is not released outside SteelRiver without the worker's consent or a lawful basis (for example a court order, a regulator's statutory request, or an insurer under workers' compensation law).</w:t>
      </w:r>
    </w:p>
    <w:p>
      <w:pPr>
        <w:pStyle w:val="ListParagraph"/>
        <w:numPr>
          <w:ilvl w:val="0"/>
          <w:numId w:val="2"/>
        </w:numPr>
        <w:spacing w:after="60" w:line="264"/>
      </w:pPr>
      <w:r>
        <w:rPr>
          <w:rFonts w:ascii="Aptos" w:cs="Aptos" w:eastAsia="Aptos" w:hAnsi="Aptos"/>
          <w:color w:val="1E2833"/>
          <w:sz w:val="20"/>
          <w:szCs w:val="20"/>
        </w:rPr>
        <w:t xml:space="preserve">Requests from outside SteelRiver for WHS records go through the National WHS Manager. Requests for personnel or HR records go through the Privacy Officer.</w:t>
      </w:r>
    </w:p>
    <w:p>
      <w:pPr>
        <w:pStyle w:val="ListParagraph"/>
        <w:numPr>
          <w:ilvl w:val="0"/>
          <w:numId w:val="2"/>
        </w:numPr>
        <w:spacing w:after="60" w:line="264"/>
      </w:pPr>
      <w:r>
        <w:rPr>
          <w:rFonts w:ascii="Aptos" w:cs="Aptos" w:eastAsia="Aptos" w:hAnsi="Aptos"/>
          <w:color w:val="1E2833"/>
          <w:sz w:val="20"/>
          <w:szCs w:val="20"/>
        </w:rPr>
        <w:t xml:space="preserve">All external communication follows the authority rules in SRL-CR-017.</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Access</w:t>
      </w:r>
    </w:p>
    <w:p>
      <w:pPr>
        <w:spacing w:before="0" w:after="120" w:line="276"/>
      </w:pPr>
      <w:r>
        <w:rPr>
          <w:rFonts w:ascii="Aptos" w:cs="Aptos" w:eastAsia="Aptos" w:hAnsi="Aptos"/>
          <w:color w:val="1E2833"/>
          <w:sz w:val="20"/>
          <w:szCs w:val="20"/>
        </w:rPr>
        <w:t xml:space="preserve">Access to personal information is set by role, at the lowest level that lets a person do their job. System access in the SRL HR system, MyOSH and SharePoint is granted by role and reviewed when a person changes role or leaves.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6552"/>
      </w:tblGrid>
      <w:tr>
        <w:trPr>
          <w:cantSplit/>
          <w:tblHeader/>
        </w:trPr>
        <w:tc>
          <w:tcPr>
            <w:tcW w:type="dxa" w:w="32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5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Access</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Privacy Officer (Head of People and Culture)</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All personnel, health and HR information. Assesses privacy complaints and suspected breaches.</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People and Culture team</w:t>
            </w:r>
          </w:p>
        </w:tc>
        <w:tc>
          <w:tcPr>
            <w:tcW w:type="dxa" w:w="6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Personnel information for the sites and people they support.</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National WHS Manager and WHS Coordinators</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WHS records in MyOSH, including identifiable incident and injury information needed for investigations. Health information only as needed for injury management, through People and Culture.</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Managers and supervisors</w:t>
            </w:r>
          </w:p>
        </w:tc>
        <w:tc>
          <w:tcPr>
            <w:tcW w:type="dxa" w:w="65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Their own team's rosters, training status and performance information as needed. No access to health information without approval from People and Culture.</w:t>
            </w:r>
          </w:p>
        </w:tc>
      </w:tr>
      <w:tr>
        <w:trPr>
          <w:cantSplit/>
        </w:trPr>
        <w:tc>
          <w:tcPr>
            <w:tcW w:type="dxa" w:w="32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HSRs and committee members</w:t>
            </w:r>
          </w:p>
        </w:tc>
        <w:tc>
          <w:tcPr>
            <w:tcW w:type="dxa" w:w="65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De-identified information and summaries. Personal or medical information only with the worker's consent.</w:t>
            </w:r>
          </w:p>
        </w:tc>
      </w:tr>
    </w:tbl>
    <w:p>
      <w:pPr>
        <w:spacing w:before="0" w:after="120" w:line="276"/>
      </w:pPr>
      <w:r>
        <w:rPr>
          <w:rFonts w:ascii="Aptos" w:cs="Aptos" w:eastAsia="Aptos" w:hAnsi="Aptos"/>
          <w:color w:val="1E2833"/>
          <w:sz w:val="20"/>
          <w:szCs w:val="20"/>
        </w:rPr>
        <w:t xml:space="preserve">HR data (absence, overtime, turnover) and EAP information reach WHS staff only through People and Culture, in de-identified form.</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Collection, use, storage and security</w:t>
      </w:r>
    </w:p>
    <w:p>
      <w:pPr>
        <w:keepNext/>
        <w:spacing w:before="200" w:after="80"/>
      </w:pPr>
      <w:r>
        <w:rPr>
          <w:rFonts w:ascii="Aptos Display" w:cs="Aptos Display" w:eastAsia="Aptos Display" w:hAnsi="Aptos Display"/>
          <w:b/>
          <w:bCs/>
          <w:color w:val="5E7C99"/>
          <w:sz w:val="24"/>
          <w:szCs w:val="24"/>
        </w:rPr>
        <w:t xml:space="preserve">5.1 Collection</w:t>
      </w:r>
    </w:p>
    <w:p>
      <w:pPr>
        <w:pStyle w:val="ListParagraph"/>
        <w:numPr>
          <w:ilvl w:val="0"/>
          <w:numId w:val="2"/>
        </w:numPr>
        <w:spacing w:after="60" w:line="264"/>
      </w:pPr>
      <w:r>
        <w:rPr>
          <w:rFonts w:ascii="Aptos" w:cs="Aptos" w:eastAsia="Aptos" w:hAnsi="Aptos"/>
          <w:color w:val="1E2833"/>
          <w:sz w:val="20"/>
          <w:szCs w:val="20"/>
        </w:rPr>
        <w:t xml:space="preserve">Collect only information that is reasonably necessary for an operational, legal or WHS purpose.</w:t>
      </w:r>
    </w:p>
    <w:p>
      <w:pPr>
        <w:pStyle w:val="ListParagraph"/>
        <w:numPr>
          <w:ilvl w:val="0"/>
          <w:numId w:val="2"/>
        </w:numPr>
        <w:spacing w:after="60" w:line="264"/>
      </w:pPr>
      <w:r>
        <w:rPr>
          <w:rFonts w:ascii="Aptos" w:cs="Aptos" w:eastAsia="Aptos" w:hAnsi="Aptos"/>
          <w:color w:val="1E2833"/>
          <w:sz w:val="20"/>
          <w:szCs w:val="20"/>
        </w:rPr>
        <w:t xml:space="preserve">Tell people why the information is collected, how it will be used and who will see it.</w:t>
      </w:r>
    </w:p>
    <w:p>
      <w:pPr>
        <w:pStyle w:val="ListParagraph"/>
        <w:numPr>
          <w:ilvl w:val="0"/>
          <w:numId w:val="2"/>
        </w:numPr>
        <w:spacing w:after="60" w:line="264"/>
      </w:pPr>
      <w:r>
        <w:rPr>
          <w:rFonts w:ascii="Aptos" w:cs="Aptos" w:eastAsia="Aptos" w:hAnsi="Aptos"/>
          <w:color w:val="1E2833"/>
          <w:sz w:val="20"/>
          <w:szCs w:val="20"/>
        </w:rPr>
        <w:t xml:space="preserve">Collect sensitive information only with consent, or where required for health, safety or legal compliance.</w:t>
      </w:r>
    </w:p>
    <w:p>
      <w:pPr>
        <w:pStyle w:val="ListParagraph"/>
        <w:numPr>
          <w:ilvl w:val="0"/>
          <w:numId w:val="2"/>
        </w:numPr>
        <w:spacing w:after="60" w:line="264"/>
      </w:pPr>
      <w:r>
        <w:rPr>
          <w:rFonts w:ascii="Aptos" w:cs="Aptos" w:eastAsia="Aptos" w:hAnsi="Aptos"/>
          <w:color w:val="1E2833"/>
          <w:sz w:val="20"/>
          <w:szCs w:val="20"/>
        </w:rPr>
        <w:t xml:space="preserve">Use anonymous or de-identified methods where they will do the job (for example psychosocial surveys). Participation in surveys is voluntary.</w:t>
      </w:r>
    </w:p>
    <w:p>
      <w:pPr>
        <w:keepNext/>
        <w:spacing w:before="200" w:after="80"/>
      </w:pPr>
      <w:r>
        <w:rPr>
          <w:rFonts w:ascii="Aptos Display" w:cs="Aptos Display" w:eastAsia="Aptos Display" w:hAnsi="Aptos Display"/>
          <w:b/>
          <w:bCs/>
          <w:color w:val="5E7C99"/>
          <w:sz w:val="24"/>
          <w:szCs w:val="24"/>
        </w:rPr>
        <w:t xml:space="preserve">5.2 Use and disclosure</w:t>
      </w:r>
    </w:p>
    <w:p>
      <w:pPr>
        <w:pStyle w:val="ListParagraph"/>
        <w:numPr>
          <w:ilvl w:val="0"/>
          <w:numId w:val="2"/>
        </w:numPr>
        <w:spacing w:after="60" w:line="264"/>
      </w:pPr>
      <w:r>
        <w:rPr>
          <w:rFonts w:ascii="Aptos" w:cs="Aptos" w:eastAsia="Aptos" w:hAnsi="Aptos"/>
          <w:color w:val="1E2833"/>
          <w:sz w:val="20"/>
          <w:szCs w:val="20"/>
        </w:rPr>
        <w:t xml:space="preserve">Use information only for the purpose for which it was collected, or a directly related purpose the person would reasonably expect.</w:t>
      </w:r>
    </w:p>
    <w:p>
      <w:pPr>
        <w:pStyle w:val="ListParagraph"/>
        <w:numPr>
          <w:ilvl w:val="0"/>
          <w:numId w:val="2"/>
        </w:numPr>
        <w:spacing w:after="60" w:line="264"/>
      </w:pPr>
      <w:r>
        <w:rPr>
          <w:rFonts w:ascii="Aptos" w:cs="Aptos" w:eastAsia="Aptos" w:hAnsi="Aptos"/>
          <w:color w:val="1E2833"/>
          <w:sz w:val="20"/>
          <w:szCs w:val="20"/>
        </w:rPr>
        <w:t xml:space="preserve">Aggregate or de-identify information used for reporting or trend analysis. WHS reports focus on workplace risk factors, not individuals.</w:t>
      </w:r>
    </w:p>
    <w:p>
      <w:pPr>
        <w:pStyle w:val="ListParagraph"/>
        <w:numPr>
          <w:ilvl w:val="0"/>
          <w:numId w:val="2"/>
        </w:numPr>
        <w:spacing w:after="60" w:line="264"/>
      </w:pPr>
      <w:r>
        <w:rPr>
          <w:rFonts w:ascii="Aptos" w:cs="Aptos" w:eastAsia="Aptos" w:hAnsi="Aptos"/>
          <w:color w:val="1E2833"/>
          <w:sz w:val="20"/>
          <w:szCs w:val="20"/>
        </w:rPr>
        <w:t xml:space="preserve">Do not share health information outside the roles in Section 4.</w:t>
      </w:r>
    </w:p>
    <w:p>
      <w:pPr>
        <w:pStyle w:val="ListParagraph"/>
        <w:numPr>
          <w:ilvl w:val="0"/>
          <w:numId w:val="2"/>
        </w:numPr>
        <w:spacing w:after="60" w:line="264"/>
      </w:pPr>
      <w:r>
        <w:rPr>
          <w:rFonts w:ascii="Aptos" w:cs="Aptos" w:eastAsia="Aptos" w:hAnsi="Aptos"/>
          <w:color w:val="1E2833"/>
          <w:sz w:val="20"/>
          <w:szCs w:val="20"/>
        </w:rPr>
        <w:t xml:space="preserve">Records collected for a WHS investigation are not used for performance or disciplinary decisions.</w:t>
      </w:r>
    </w:p>
    <w:p>
      <w:pPr>
        <w:keepNext/>
        <w:spacing w:before="200" w:after="80"/>
      </w:pPr>
      <w:r>
        <w:rPr>
          <w:rFonts w:ascii="Aptos Display" w:cs="Aptos Display" w:eastAsia="Aptos Display" w:hAnsi="Aptos Display"/>
          <w:b/>
          <w:bCs/>
          <w:color w:val="5E7C99"/>
          <w:sz w:val="24"/>
          <w:szCs w:val="24"/>
        </w:rPr>
        <w:t xml:space="preserve">5.3 Storage and security</w:t>
      </w:r>
    </w:p>
    <w:p>
      <w:pPr>
        <w:pStyle w:val="ListParagraph"/>
        <w:numPr>
          <w:ilvl w:val="0"/>
          <w:numId w:val="2"/>
        </w:numPr>
        <w:spacing w:after="60" w:line="264"/>
      </w:pPr>
      <w:r>
        <w:rPr>
          <w:rFonts w:ascii="Aptos" w:cs="Aptos" w:eastAsia="Aptos" w:hAnsi="Aptos"/>
          <w:color w:val="1E2833"/>
          <w:sz w:val="20"/>
          <w:szCs w:val="20"/>
        </w:rPr>
        <w:t xml:space="preserve">Store electronic records only in SteelRiver systems: the SRL HR system, MyOSH and SharePoint, with role-based access.</w:t>
      </w:r>
    </w:p>
    <w:p>
      <w:pPr>
        <w:pStyle w:val="ListParagraph"/>
        <w:numPr>
          <w:ilvl w:val="0"/>
          <w:numId w:val="2"/>
        </w:numPr>
        <w:spacing w:after="60" w:line="264"/>
      </w:pPr>
      <w:r>
        <w:rPr>
          <w:rFonts w:ascii="Aptos" w:cs="Aptos" w:eastAsia="Aptos" w:hAnsi="Aptos"/>
          <w:color w:val="1E2833"/>
          <w:sz w:val="20"/>
          <w:szCs w:val="20"/>
        </w:rPr>
        <w:t xml:space="preserve">Keep hard copies in locked cabinets in secure offices. Do not leave documents on desks, printers or in vehicles.</w:t>
      </w:r>
    </w:p>
    <w:p>
      <w:pPr>
        <w:pStyle w:val="ListParagraph"/>
        <w:numPr>
          <w:ilvl w:val="0"/>
          <w:numId w:val="2"/>
        </w:numPr>
        <w:spacing w:after="60" w:line="264"/>
      </w:pPr>
      <w:r>
        <w:rPr>
          <w:rFonts w:ascii="Aptos" w:cs="Aptos" w:eastAsia="Aptos" w:hAnsi="Aptos"/>
          <w:color w:val="1E2833"/>
          <w:sz w:val="20"/>
          <w:szCs w:val="20"/>
        </w:rPr>
        <w:t xml:space="preserve">Do not use personal email, personal devices or unapproved file-sharing or messaging services for personal information held by SteelRiver.</w:t>
      </w:r>
    </w:p>
    <w:p>
      <w:pPr>
        <w:pStyle w:val="ListParagraph"/>
        <w:numPr>
          <w:ilvl w:val="0"/>
          <w:numId w:val="2"/>
        </w:numPr>
        <w:spacing w:after="60" w:line="264"/>
      </w:pPr>
      <w:r>
        <w:rPr>
          <w:rFonts w:ascii="Aptos" w:cs="Aptos" w:eastAsia="Aptos" w:hAnsi="Aptos"/>
          <w:color w:val="1E2833"/>
          <w:sz w:val="20"/>
          <w:szCs w:val="20"/>
        </w:rPr>
        <w:t xml:space="preserve">Lock screens when away from them. Report lost devices or access cards immediately.</w:t>
      </w:r>
    </w:p>
    <w:p>
      <w:pPr>
        <w:keepNext/>
        <w:spacing w:before="200" w:after="80"/>
      </w:pPr>
      <w:r>
        <w:rPr>
          <w:rFonts w:ascii="Aptos Display" w:cs="Aptos Display" w:eastAsia="Aptos Display" w:hAnsi="Aptos Display"/>
          <w:b/>
          <w:bCs/>
          <w:color w:val="5E7C99"/>
          <w:sz w:val="24"/>
          <w:szCs w:val="24"/>
        </w:rPr>
        <w:t xml:space="preserve">5.4 Accuracy, access and correction</w:t>
      </w:r>
    </w:p>
    <w:p>
      <w:pPr>
        <w:spacing w:before="0" w:after="120" w:line="276"/>
      </w:pPr>
      <w:r>
        <w:rPr>
          <w:rFonts w:ascii="Aptos" w:cs="Aptos" w:eastAsia="Aptos" w:hAnsi="Aptos"/>
          <w:color w:val="1E2833"/>
          <w:sz w:val="20"/>
          <w:szCs w:val="20"/>
        </w:rPr>
        <w:t xml:space="preserve">Keep personal information accurate and up to date. A worker may ask to see the personal information SteelRiver holds about them, and to correct it. Requests go to the Privacy Officer and are answered within 30 days. A worker always receives their own health monitoring results.</w:t>
      </w:r>
    </w:p>
    <w:p>
      <w:pPr>
        <w:keepNext/>
        <w:spacing w:before="200" w:after="80"/>
      </w:pPr>
      <w:r>
        <w:rPr>
          <w:rFonts w:ascii="Aptos Display" w:cs="Aptos Display" w:eastAsia="Aptos Display" w:hAnsi="Aptos Display"/>
          <w:b/>
          <w:bCs/>
          <w:color w:val="5E7C99"/>
          <w:sz w:val="24"/>
          <w:szCs w:val="24"/>
        </w:rPr>
        <w:t xml:space="preserve">5.5 Retention and disposal</w:t>
      </w:r>
    </w:p>
    <w:p>
      <w:pPr>
        <w:spacing w:before="0" w:after="120" w:line="276"/>
      </w:pPr>
      <w:r>
        <w:rPr>
          <w:rFonts w:ascii="Aptos" w:cs="Aptos" w:eastAsia="Aptos" w:hAnsi="Aptos"/>
          <w:color w:val="1E2833"/>
          <w:sz w:val="20"/>
          <w:szCs w:val="20"/>
        </w:rPr>
        <w:t xml:space="preserve">Keep records for the periods in the Records Retention Schedule (SRL-CR-019). When personal information is no longer needed and no retention period applies, destroy it securely or de-identify it.</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Complaints and suspected breaches</w:t>
      </w:r>
    </w:p>
    <w:p>
      <w:pPr>
        <w:spacing w:before="0" w:after="120" w:line="276"/>
      </w:pPr>
      <w:r>
        <w:rPr>
          <w:rFonts w:ascii="Aptos" w:cs="Aptos" w:eastAsia="Aptos" w:hAnsi="Aptos"/>
          <w:color w:val="1E2833"/>
          <w:sz w:val="20"/>
          <w:szCs w:val="20"/>
        </w:rPr>
        <w:t xml:space="preserve">Report any suspected privacy breach, such as personal information sent to the wrong person, lost or seen by someone without a need to know, to your manager and the Privacy Officer straight away. Do not delete the original message or document. Privacy complaints also go to the Privacy Officer, who assesses them and responds. Misuse of personal information may result in disciplinary action under SRL-CR-039.</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Document control</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152"/>
      </w:tblGrid>
      <w:tr>
        <w:trPr>
          <w:cantSplit/>
          <w:tblHeader/>
        </w:trPr>
        <w:tc>
          <w:tcPr>
            <w:tcW w:type="dxa" w:w="26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Field</w:t>
            </w:r>
          </w:p>
        </w:tc>
        <w:tc>
          <w:tcPr>
            <w:tcW w:type="dxa" w:w="7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Detail</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Document number and title</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SRL-CR-018 Information Privacy and Confidentiality Policy</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Version and effective date</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Version 2.2, 1 July 2026</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Review date</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July 2027, or earlier if privacy or WHS law changes or after a significant breach</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Owner</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Lila Petrov, Head of People and Culture and Privacy Officer</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Approver</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Rajesh Iyengar, Chief Executive Officer</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Related documents</w:t>
            </w:r>
          </w:p>
        </w:tc>
        <w:tc>
          <w:tcPr>
            <w:tcW w:type="dxa" w:w="7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SRL-CR-017 Communication Framework and Stakeholder Engagement; SRL-CR-019 Document Control and Records Management Policy; SRL-CR-035 Incident Reporting and Investigation Procedure; SRL-CR-037 WHS Records and Reporting Procedure; SRL-CR-038 Information Collection and Data Handling Procedure; SRL-CR-039 Termination and Disciplinary Procedure; SRL-CR-053 Employee Assistance Program and Wellbeing Support Procedure</w:t>
            </w:r>
          </w:p>
        </w:tc>
      </w:tr>
      <w:tr>
        <w:trPr>
          <w:cantSplit/>
        </w:trPr>
        <w:tc>
          <w:tcPr>
            <w:tcW w:type="dxa" w:w="26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Contact</w:t>
            </w:r>
          </w:p>
        </w:tc>
        <w:tc>
          <w:tcPr>
            <w:tcW w:type="dxa" w:w="7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Privacy Officer, People and Culture, Perth head office</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2.2</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July 2026</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Review of collection, use, storage and access rules for health and WHS information.</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2.1</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July 2025</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Annual review. No change of substance.</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Rajesh Iyengar</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SRL-CR-018 Version 2.2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SRL-CR-018 Version 2.2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SRL-CR-018  ·  Information Privacy and Confidentiality Policy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SRL-CR-018 Information Privacy and Confidentiality Policy</dc:title>
  <dc:creator>SteelRiver Logistics Pty Ltd</dc:creator>
  <cp:lastModifiedBy>Un-named</cp:lastModifiedBy>
  <cp:revision>1</cp:revision>
  <dcterms:created xsi:type="dcterms:W3CDTF">2026-11-01T14:27:18.153Z</dcterms:created>
  <dcterms:modified xsi:type="dcterms:W3CDTF">2026-11-01T14:27:18.153Z</dcterms:modified>
</cp:coreProperties>
</file>

<file path=docProps/custom.xml><?xml version="1.0" encoding="utf-8"?>
<Properties xmlns="http://schemas.openxmlformats.org/officeDocument/2006/custom-properties" xmlns:vt="http://schemas.openxmlformats.org/officeDocument/2006/docPropsVTypes"/>
</file>