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POLICY</w:t>
            </w:r>
          </w:p>
          <w:p>
            <w:pPr>
              <w:spacing w:after="0"/>
              <w:jc w:val="right"/>
            </w:pPr>
            <w:r>
              <w:rPr>
                <w:rFonts w:ascii="Aptos Display" w:cs="Aptos Display" w:eastAsia="Aptos Display" w:hAnsi="Aptos Display"/>
                <w:b/>
                <w:bCs/>
                <w:color w:val="013056"/>
                <w:sz w:val="36"/>
                <w:szCs w:val="36"/>
              </w:rPr>
              <w:t xml:space="preserve">SRL-CR-023</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Speak Up and Whistleblower Protection Policy</w:t>
      </w:r>
    </w:p>
    <w:p>
      <w:pPr>
        <w:spacing w:before="0" w:after="160" w:line="276"/>
      </w:pPr>
      <w:r>
        <w:rPr>
          <w:rFonts w:ascii="Aptos" w:cs="Aptos" w:eastAsia="Aptos" w:hAnsi="Aptos"/>
          <w:color w:val="5E7C99"/>
          <w:sz w:val="24"/>
          <w:szCs w:val="24"/>
        </w:rPr>
        <w:t xml:space="preserve">How to report wrongdoing, how SteelRiver protects people who speak up, and how reports are handled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SRL-CR-023</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Lila Petrov, Head of People and Culture</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December 2025</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employees, officers, contractors, suppliers and labour hire workers, all sites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SteelRiver Logistics Pty Ltd (SteelRiver) wants to know about wrongdoing so it can stop it. This policy encourages people to speak up, explains the ways to do so, including anonymously, and sets out how SteelRiver protects people who report and how reports are handled.</w:t>
      </w:r>
    </w:p>
    <w:p>
      <w:pPr>
        <w:spacing w:before="0" w:after="120" w:line="276"/>
      </w:pPr>
      <w:r>
        <w:rPr>
          <w:rFonts w:ascii="Aptos" w:cs="Aptos" w:eastAsia="Aptos" w:hAnsi="Aptos"/>
          <w:color w:val="1E2833"/>
          <w:sz w:val="20"/>
          <w:szCs w:val="20"/>
        </w:rPr>
        <w:t xml:space="preserve">It is also SteelRiver's whistleblower policy for the purposes of Part 9.4AAA of the Corporations Act 2001 (Cth), which gives legal protection to people who report certain kinds of wrongdoing. The protections are summarised in general terms in Section 6. This policy does not limit any right a person has under the law.</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Who can speak up</w:t>
      </w:r>
    </w:p>
    <w:p>
      <w:pPr>
        <w:spacing w:before="0" w:after="120" w:line="276"/>
      </w:pPr>
      <w:r>
        <w:rPr>
          <w:rFonts w:ascii="Aptos" w:cs="Aptos" w:eastAsia="Aptos" w:hAnsi="Aptos"/>
          <w:color w:val="1E2833"/>
          <w:sz w:val="20"/>
          <w:szCs w:val="20"/>
        </w:rPr>
        <w:t xml:space="preserve">Anyone can speak up under this policy. The legal whistleblower protections are available to current and former:</w:t>
      </w:r>
    </w:p>
    <w:p>
      <w:pPr>
        <w:pStyle w:val="ListParagraph"/>
        <w:numPr>
          <w:ilvl w:val="0"/>
          <w:numId w:val="2"/>
        </w:numPr>
        <w:spacing w:after="60" w:line="264"/>
      </w:pPr>
      <w:r>
        <w:rPr>
          <w:rFonts w:ascii="Aptos" w:cs="Aptos" w:eastAsia="Aptos" w:hAnsi="Aptos"/>
          <w:color w:val="1E2833"/>
          <w:sz w:val="20"/>
          <w:szCs w:val="20"/>
        </w:rPr>
        <w:t xml:space="preserve">employees (full time, part time and casual) and officers of SteelRiver, including directors and executives</w:t>
      </w:r>
    </w:p>
    <w:p>
      <w:pPr>
        <w:pStyle w:val="ListParagraph"/>
        <w:numPr>
          <w:ilvl w:val="0"/>
          <w:numId w:val="2"/>
        </w:numPr>
        <w:spacing w:after="60" w:line="264"/>
      </w:pPr>
      <w:r>
        <w:rPr>
          <w:rFonts w:ascii="Aptos" w:cs="Aptos" w:eastAsia="Aptos" w:hAnsi="Aptos"/>
          <w:color w:val="1E2833"/>
          <w:sz w:val="20"/>
          <w:szCs w:val="20"/>
        </w:rPr>
        <w:t xml:space="preserve">contractors and suppliers of goods or services to SteelRiver and their employees, including labour hire workers, line haul subcontractors and cleaning, maintenance and construction contractors</w:t>
      </w:r>
    </w:p>
    <w:p>
      <w:pPr>
        <w:pStyle w:val="ListParagraph"/>
        <w:numPr>
          <w:ilvl w:val="0"/>
          <w:numId w:val="2"/>
        </w:numPr>
        <w:spacing w:after="60" w:line="264"/>
      </w:pPr>
      <w:r>
        <w:rPr>
          <w:rFonts w:ascii="Aptos" w:cs="Aptos" w:eastAsia="Aptos" w:hAnsi="Aptos"/>
          <w:color w:val="1E2833"/>
          <w:sz w:val="20"/>
          <w:szCs w:val="20"/>
        </w:rPr>
        <w:t xml:space="preserve">relatives, dependants and spouses of any of these people.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What to report</w:t>
      </w:r>
    </w:p>
    <w:p>
      <w:pPr>
        <w:keepNext/>
        <w:spacing w:before="200" w:after="80"/>
      </w:pPr>
      <w:r>
        <w:rPr>
          <w:rFonts w:ascii="Aptos Display" w:cs="Aptos Display" w:eastAsia="Aptos Display" w:hAnsi="Aptos Display"/>
          <w:b/>
          <w:bCs/>
          <w:color w:val="5E7C99"/>
          <w:sz w:val="24"/>
          <w:szCs w:val="24"/>
        </w:rPr>
        <w:t xml:space="preserve">3.1 Reportable conduct</w:t>
      </w:r>
    </w:p>
    <w:p>
      <w:pPr>
        <w:spacing w:before="0" w:after="120" w:line="276"/>
      </w:pPr>
      <w:r>
        <w:rPr>
          <w:rFonts w:ascii="Aptos" w:cs="Aptos" w:eastAsia="Aptos" w:hAnsi="Aptos"/>
          <w:color w:val="1E2833"/>
          <w:sz w:val="20"/>
          <w:szCs w:val="20"/>
        </w:rPr>
        <w:t xml:space="preserve">Speak up if you have reasonable grounds to suspect misconduct or an improper state of affairs relating to SteelRiver. Examples:</w:t>
      </w:r>
    </w:p>
    <w:p>
      <w:pPr>
        <w:pStyle w:val="ListParagraph"/>
        <w:numPr>
          <w:ilvl w:val="0"/>
          <w:numId w:val="2"/>
        </w:numPr>
        <w:spacing w:after="60" w:line="264"/>
      </w:pPr>
      <w:r>
        <w:rPr>
          <w:rFonts w:ascii="Aptos" w:cs="Aptos" w:eastAsia="Aptos" w:hAnsi="Aptos"/>
          <w:color w:val="1E2833"/>
          <w:sz w:val="20"/>
          <w:szCs w:val="20"/>
        </w:rPr>
        <w:t xml:space="preserve">fraud, theft, bribery or corruption, including false invoices, kickbacks from suppliers or contractors, or misuse of company funds</w:t>
      </w:r>
    </w:p>
    <w:p>
      <w:pPr>
        <w:pStyle w:val="ListParagraph"/>
        <w:numPr>
          <w:ilvl w:val="0"/>
          <w:numId w:val="2"/>
        </w:numPr>
        <w:spacing w:after="60" w:line="264"/>
      </w:pPr>
      <w:r>
        <w:rPr>
          <w:rFonts w:ascii="Aptos" w:cs="Aptos" w:eastAsia="Aptos" w:hAnsi="Aptos"/>
          <w:color w:val="1E2833"/>
          <w:sz w:val="20"/>
          <w:szCs w:val="20"/>
        </w:rPr>
        <w:t xml:space="preserve">falsifying records, including financial, customer, KPI, training, licence, inspection or safety records</w:t>
      </w:r>
    </w:p>
    <w:p>
      <w:pPr>
        <w:pStyle w:val="ListParagraph"/>
        <w:numPr>
          <w:ilvl w:val="0"/>
          <w:numId w:val="2"/>
        </w:numPr>
        <w:spacing w:after="60" w:line="264"/>
      </w:pPr>
      <w:r>
        <w:rPr>
          <w:rFonts w:ascii="Aptos" w:cs="Aptos" w:eastAsia="Aptos" w:hAnsi="Aptos"/>
          <w:color w:val="1E2833"/>
          <w:sz w:val="20"/>
          <w:szCs w:val="20"/>
        </w:rPr>
        <w:t xml:space="preserve">breaches of the law, including corporations, tax, privacy, dangerous goods or work health and safety law</w:t>
      </w:r>
    </w:p>
    <w:p>
      <w:pPr>
        <w:pStyle w:val="ListParagraph"/>
        <w:numPr>
          <w:ilvl w:val="0"/>
          <w:numId w:val="2"/>
        </w:numPr>
        <w:spacing w:after="60" w:line="264"/>
      </w:pPr>
      <w:r>
        <w:rPr>
          <w:rFonts w:ascii="Aptos" w:cs="Aptos" w:eastAsia="Aptos" w:hAnsi="Aptos"/>
          <w:color w:val="1E2833"/>
          <w:sz w:val="20"/>
          <w:szCs w:val="20"/>
        </w:rPr>
        <w:t xml:space="preserve">deliberately concealing a serious incident, a regulator notice or a dangerous practice</w:t>
      </w:r>
    </w:p>
    <w:p>
      <w:pPr>
        <w:pStyle w:val="ListParagraph"/>
        <w:numPr>
          <w:ilvl w:val="0"/>
          <w:numId w:val="2"/>
        </w:numPr>
        <w:spacing w:after="60" w:line="264"/>
      </w:pPr>
      <w:r>
        <w:rPr>
          <w:rFonts w:ascii="Aptos" w:cs="Aptos" w:eastAsia="Aptos" w:hAnsi="Aptos"/>
          <w:color w:val="1E2833"/>
          <w:sz w:val="20"/>
          <w:szCs w:val="20"/>
        </w:rPr>
        <w:t xml:space="preserve">conduct that is a danger to the public, such as unsafe loading of vehicles sent onto public roads</w:t>
      </w:r>
    </w:p>
    <w:p>
      <w:pPr>
        <w:pStyle w:val="ListParagraph"/>
        <w:numPr>
          <w:ilvl w:val="0"/>
          <w:numId w:val="2"/>
        </w:numPr>
        <w:spacing w:after="60" w:line="264"/>
      </w:pPr>
      <w:r>
        <w:rPr>
          <w:rFonts w:ascii="Aptos" w:cs="Aptos" w:eastAsia="Aptos" w:hAnsi="Aptos"/>
          <w:color w:val="1E2833"/>
          <w:sz w:val="20"/>
          <w:szCs w:val="20"/>
        </w:rPr>
        <w:t xml:space="preserve">serious or systemic misconduct by a manager or executive, including a pattern of bullying, harassment or discrimination that has not been dealt with</w:t>
      </w:r>
    </w:p>
    <w:p>
      <w:pPr>
        <w:pStyle w:val="ListParagraph"/>
        <w:numPr>
          <w:ilvl w:val="0"/>
          <w:numId w:val="2"/>
        </w:numPr>
        <w:spacing w:after="60" w:line="264"/>
      </w:pPr>
      <w:r>
        <w:rPr>
          <w:rFonts w:ascii="Aptos" w:cs="Aptos" w:eastAsia="Aptos" w:hAnsi="Aptos"/>
          <w:color w:val="1E2833"/>
          <w:sz w:val="20"/>
          <w:szCs w:val="20"/>
        </w:rPr>
        <w:t xml:space="preserve">retaliation against someone who has spoken up.</w:t>
      </w:r>
    </w:p>
    <w:p>
      <w:pPr>
        <w:spacing w:before="120" w:after="120" w:line="276"/>
      </w:pPr>
      <w:r>
        <w:rPr>
          <w:rFonts w:ascii="Aptos" w:cs="Aptos" w:eastAsia="Aptos" w:hAnsi="Aptos"/>
          <w:color w:val="1E2833"/>
          <w:sz w:val="20"/>
          <w:szCs w:val="20"/>
        </w:rPr>
        <w:t xml:space="preserve">You do not need proof, and you are protected even if your report turns out to be wrong, as long as you had reasonable grounds for it. Knowingly making a false report is misconduct and is dealt with under SRL-CR-039 Termination and Disciplinary Procedure.</w:t>
      </w:r>
    </w:p>
    <w:p>
      <w:pPr>
        <w:keepNext/>
        <w:spacing w:before="200" w:after="80"/>
      </w:pPr>
      <w:r>
        <w:rPr>
          <w:rFonts w:ascii="Aptos Display" w:cs="Aptos Display" w:eastAsia="Aptos Display" w:hAnsi="Aptos Display"/>
          <w:b/>
          <w:bCs/>
          <w:color w:val="5E7C99"/>
          <w:sz w:val="24"/>
          <w:szCs w:val="24"/>
        </w:rPr>
        <w:t xml:space="preserve">3.2 What goes through other channels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WHS hazards, incidents and issues</w:t>
            </w:r>
          </w:p>
          <w:p>
            <w:pPr>
              <w:spacing w:before="0" w:after="60" w:line="276"/>
            </w:pPr>
            <w:r>
              <w:rPr>
                <w:rFonts w:ascii="Aptos" w:cs="Aptos" w:eastAsia="Aptos" w:hAnsi="Aptos"/>
                <w:color w:val="1E2833"/>
                <w:sz w:val="20"/>
                <w:szCs w:val="20"/>
              </w:rPr>
              <w:t xml:space="preserve">Report hazards, near misses and incidents straight away to your supervisor or HSR, or in MyOSH through the SteelRiver Safety Portal, under </w:t>
            </w:r>
            <w:r>
              <w:rPr>
                <w:rFonts w:ascii="Aptos" w:cs="Aptos" w:eastAsia="Aptos" w:hAnsi="Aptos"/>
                <w:b/>
                <w:bCs/>
                <w:color w:val="1E2833"/>
                <w:sz w:val="20"/>
                <w:szCs w:val="20"/>
              </w:rPr>
              <w:t xml:space="preserve">SRL-CR-035 Incident Reporting and Investigation Procedure</w:t>
            </w:r>
            <w:r>
              <w:rPr>
                <w:rFonts w:ascii="Aptos" w:cs="Aptos" w:eastAsia="Aptos" w:hAnsi="Aptos"/>
                <w:color w:val="1E2833"/>
                <w:sz w:val="20"/>
                <w:szCs w:val="20"/>
              </w:rPr>
              <w:t xml:space="preserve">. Raise WHS concerns under </w:t>
            </w:r>
            <w:r>
              <w:rPr>
                <w:rFonts w:ascii="Aptos" w:cs="Aptos" w:eastAsia="Aptos" w:hAnsi="Aptos"/>
                <w:b/>
                <w:bCs/>
                <w:color w:val="1E2833"/>
                <w:sz w:val="20"/>
                <w:szCs w:val="20"/>
              </w:rPr>
              <w:t xml:space="preserve">SRL-CR-032 WHS Issue Resolution Procedure</w:t>
            </w:r>
            <w:r>
              <w:rPr>
                <w:rFonts w:ascii="Aptos" w:cs="Aptos" w:eastAsia="Aptos" w:hAnsi="Aptos"/>
                <w:color w:val="1E2833"/>
                <w:sz w:val="20"/>
                <w:szCs w:val="20"/>
              </w:rPr>
              <w:t xml:space="preserve">, which involves your HSR and keeps your right to stop unsafe work and to ask WorkSafe WA (or the regulator in your state) for an inspector. Do not delay a WHS report by using the conduct hotline instead.</w:t>
            </w:r>
          </w:p>
          <w:p>
            <w:pPr>
              <w:spacing w:before="0" w:after="60" w:line="276"/>
            </w:pPr>
            <w:r>
              <w:rPr>
                <w:rFonts w:ascii="Aptos" w:cs="Aptos" w:eastAsia="Aptos" w:hAnsi="Aptos"/>
                <w:color w:val="1E2833"/>
                <w:sz w:val="20"/>
                <w:szCs w:val="20"/>
              </w:rPr>
              <w:t xml:space="preserve">Use this policy as well if you believe a WHS matter is being deliberately covered up, a safety record has been falsified, or you have been treated badly for raising a WHS concern. The WHS Act separately protects workers from discriminatory conduct for raising WHS matters.</w:t>
            </w: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blHeader/>
        </w:trPr>
        <w:tc>
          <w:tcPr>
            <w:tcW w:type="dxa" w:w="4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Matter</w:t>
            </w:r>
          </w:p>
        </w:tc>
        <w:tc>
          <w:tcPr>
            <w:tcW w:type="dxa" w:w="5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Channel</w:t>
            </w:r>
          </w:p>
        </w:tc>
      </w:tr>
      <w:tr>
        <w:trPr>
          <w:cantSplit/>
        </w:trPr>
        <w:tc>
          <w:tcPr>
            <w:tcW w:type="dxa" w:w="4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 personal work-related grievance: a complaint about your own pay, roster, transfer, performance rating, a disciplinary decision or a conflict with a co-worker</w:t>
            </w:r>
          </w:p>
        </w:tc>
        <w:tc>
          <w:tcPr>
            <w:tcW w:type="dxa" w:w="5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SRL-CR-040 Grievance Procedure. These matters are generally not protected whistleblower disclosures unless they also involve reportable conduct under Section 3.1 or retaliation for speaking up.</w:t>
            </w:r>
          </w:p>
        </w:tc>
      </w:tr>
      <w:tr>
        <w:trPr>
          <w:cantSplit/>
        </w:trPr>
        <w:tc>
          <w:tcPr>
            <w:tcW w:type="dxa" w:w="4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Bullying or harassment affecting you</w:t>
            </w:r>
          </w:p>
        </w:tc>
        <w:tc>
          <w:tcPr>
            <w:tcW w:type="dxa" w:w="5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Your manager or HR Business Partner under SRL-CR-040; the hazard is also managed under SRL-CR-044. The conduct hotline may also be used.</w:t>
            </w:r>
          </w:p>
        </w:tc>
      </w:tr>
      <w:tr>
        <w:trPr>
          <w:cantSplit/>
        </w:trPr>
        <w:tc>
          <w:tcPr>
            <w:tcW w:type="dxa" w:w="4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 privacy concern about your own personal information</w:t>
            </w:r>
          </w:p>
        </w:tc>
        <w:tc>
          <w:tcPr>
            <w:tcW w:type="dxa" w:w="5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Privacy Officer, Head of People and Culture (SRL-CR-018)</w:t>
            </w:r>
          </w:p>
        </w:tc>
      </w:tr>
      <w:tr>
        <w:trPr>
          <w:cantSplit/>
        </w:trPr>
        <w:tc>
          <w:tcPr>
            <w:tcW w:type="dxa" w:w="4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Personal support</w:t>
            </w:r>
          </w:p>
        </w:tc>
        <w:tc>
          <w:tcPr>
            <w:tcW w:type="dxa" w:w="5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Employee Assistance Program, 1800-SRL-EAP, 24 hours, 7 days (SRL-CR-053). The EAP does not take conduct reports.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How to speak up</w:t>
      </w:r>
    </w:p>
    <w:p>
      <w:pPr>
        <w:keepNext/>
        <w:spacing w:before="200" w:after="80"/>
      </w:pPr>
      <w:r>
        <w:rPr>
          <w:rFonts w:ascii="Aptos Display" w:cs="Aptos Display" w:eastAsia="Aptos Display" w:hAnsi="Aptos Display"/>
          <w:b/>
          <w:bCs/>
          <w:color w:val="5E7C99"/>
          <w:sz w:val="24"/>
          <w:szCs w:val="24"/>
        </w:rPr>
        <w:t xml:space="preserve">4.1 Internal channels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Channel</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Conduct hotline</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1800-SRL-LINE.</w:t>
            </w:r>
            <w:r>
              <w:rPr>
                <w:rFonts w:ascii="Aptos" w:cs="Aptos" w:eastAsia="Aptos" w:hAnsi="Aptos"/>
                <w:b w:val="false"/>
                <w:bCs w:val="false"/>
                <w:color w:val="1E2833"/>
                <w:sz w:val="20"/>
                <w:szCs w:val="20"/>
              </w:rPr>
              <w:t xml:space="preserve"> Run by an external provider authorised by SteelRiver to receive reports and whistleblower disclosures. You can stay anonymous. The provider gives you a reference number so you can add information or ask for updates without giving your name. The hotline is not the EAP and does not provide counselling.</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Whistleblower Protection Officer</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Lila Petrov, Head of People and Culture, Perth head office. Receives reports and protects and supports people who speak up.</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Officers and senior managers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 member of the Board, the Chief Executive Officer, Chief Financial Officer, Operations Director, National WHS Manager or Chief Customer Officer.</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Your manager or HR Business Partner</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You can raise a concern with them. To be sure of the legal whistleblower protections, also make the report through one of the channels above.</w:t>
            </w:r>
          </w:p>
        </w:tc>
      </w:tr>
    </w:tbl>
    <w:p>
      <w:pPr>
        <w:spacing w:before="120" w:after="120" w:line="276"/>
      </w:pPr>
      <w:r>
        <w:rPr>
          <w:rFonts w:ascii="Aptos" w:cs="Aptos" w:eastAsia="Aptos" w:hAnsi="Aptos"/>
          <w:color w:val="1E2833"/>
          <w:sz w:val="20"/>
          <w:szCs w:val="20"/>
        </w:rPr>
        <w:t xml:space="preserve">If your report is about the Head of People and Culture, make it to the hotline or the Chief Executive Officer. If it is about the Chief Executive Officer or a director, make it to the hotline and ask for it to go to the Chair of the Board.</w:t>
      </w:r>
    </w:p>
    <w:p>
      <w:pPr>
        <w:keepNext/>
        <w:spacing w:before="200" w:after="80"/>
      </w:pPr>
      <w:r>
        <w:rPr>
          <w:rFonts w:ascii="Aptos Display" w:cs="Aptos Display" w:eastAsia="Aptos Display" w:hAnsi="Aptos Display"/>
          <w:b/>
          <w:bCs/>
          <w:color w:val="5E7C99"/>
          <w:sz w:val="24"/>
          <w:szCs w:val="24"/>
        </w:rPr>
        <w:t xml:space="preserve">4.2 External channels</w:t>
      </w:r>
    </w:p>
    <w:p>
      <w:pPr>
        <w:spacing w:before="0" w:after="120" w:line="276"/>
      </w:pPr>
      <w:r>
        <w:rPr>
          <w:rFonts w:ascii="Aptos" w:cs="Aptos" w:eastAsia="Aptos" w:hAnsi="Aptos"/>
          <w:color w:val="1E2833"/>
          <w:sz w:val="20"/>
          <w:szCs w:val="20"/>
        </w:rPr>
        <w:t xml:space="preserve">The law also protects disclosures made to SteelRiver's external auditor, to the Australian Securities and Investments Commission (ASIC), to the Australian Taxation Office for tax matters, to other Commonwealth bodies prescribed by law, and to a lawyer for advice about the whistleblower protections. In limited circumstances the law protects a public interest or emergency disclosure to a journalist or a member of parliament; strict conditions apply, so get independent legal advice before making one.</w:t>
      </w:r>
    </w:p>
    <w:p>
      <w:pPr>
        <w:keepNext/>
        <w:spacing w:before="200" w:after="80"/>
      </w:pPr>
      <w:r>
        <w:rPr>
          <w:rFonts w:ascii="Aptos Display" w:cs="Aptos Display" w:eastAsia="Aptos Display" w:hAnsi="Aptos Display"/>
          <w:b/>
          <w:bCs/>
          <w:color w:val="5E7C99"/>
          <w:sz w:val="24"/>
          <w:szCs w:val="24"/>
        </w:rPr>
        <w:t xml:space="preserve">4.3 What to include</w:t>
      </w:r>
    </w:p>
    <w:p>
      <w:pPr>
        <w:spacing w:before="0" w:after="120" w:line="276"/>
      </w:pPr>
      <w:r>
        <w:rPr>
          <w:rFonts w:ascii="Aptos" w:cs="Aptos" w:eastAsia="Aptos" w:hAnsi="Aptos"/>
          <w:color w:val="1E2833"/>
          <w:sz w:val="20"/>
          <w:szCs w:val="20"/>
        </w:rPr>
        <w:t xml:space="preserve">Give as much detail as you can: what happened, when and where, who was involved, how you know, and any documents or other evidence. Do not investigate the matter yourself or access records you are not authorised to see.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Anonymity and confidentiality</w:t>
      </w:r>
    </w:p>
    <w:p>
      <w:pPr>
        <w:pStyle w:val="ListParagraph"/>
        <w:numPr>
          <w:ilvl w:val="0"/>
          <w:numId w:val="2"/>
        </w:numPr>
        <w:spacing w:after="60" w:line="264"/>
      </w:pPr>
      <w:r>
        <w:rPr>
          <w:rFonts w:ascii="Aptos" w:cs="Aptos" w:eastAsia="Aptos" w:hAnsi="Aptos"/>
          <w:color w:val="1E2833"/>
          <w:sz w:val="20"/>
          <w:szCs w:val="20"/>
        </w:rPr>
        <w:t xml:space="preserve">You can report anonymously, stay anonymous during any investigation and refuse to answer questions that could identify you. Anonymous reports are still assessed and, where possible, investigated.</w:t>
      </w:r>
    </w:p>
    <w:p>
      <w:pPr>
        <w:pStyle w:val="ListParagraph"/>
        <w:numPr>
          <w:ilvl w:val="0"/>
          <w:numId w:val="2"/>
        </w:numPr>
        <w:spacing w:after="60" w:line="264"/>
      </w:pPr>
      <w:r>
        <w:rPr>
          <w:rFonts w:ascii="Aptos" w:cs="Aptos" w:eastAsia="Aptos" w:hAnsi="Aptos"/>
          <w:color w:val="1E2833"/>
          <w:sz w:val="20"/>
          <w:szCs w:val="20"/>
        </w:rPr>
        <w:t xml:space="preserve">If you give your name, it is not shared without your consent, except as the law allows (for example to ASIC, the Australian Federal Police or a lawyer for advice).</w:t>
      </w:r>
    </w:p>
    <w:p>
      <w:pPr>
        <w:pStyle w:val="ListParagraph"/>
        <w:numPr>
          <w:ilvl w:val="0"/>
          <w:numId w:val="2"/>
        </w:numPr>
        <w:spacing w:after="60" w:line="264"/>
      </w:pPr>
      <w:r>
        <w:rPr>
          <w:rFonts w:ascii="Aptos" w:cs="Aptos" w:eastAsia="Aptos" w:hAnsi="Aptos"/>
          <w:color w:val="1E2833"/>
          <w:sz w:val="20"/>
          <w:szCs w:val="20"/>
        </w:rPr>
        <w:t xml:space="preserve">Information that could identify you is shared only where it is reasonably necessary to investigate, and SteelRiver takes all reasonable steps to reduce the risk that you will be identified: names are removed from records, documents are stored securely, and only the people handling the report have access.</w:t>
      </w:r>
    </w:p>
    <w:p>
      <w:pPr>
        <w:pStyle w:val="ListParagraph"/>
        <w:numPr>
          <w:ilvl w:val="0"/>
          <w:numId w:val="2"/>
        </w:numPr>
        <w:spacing w:after="60" w:line="264"/>
      </w:pPr>
      <w:r>
        <w:rPr>
          <w:rFonts w:ascii="Aptos" w:cs="Aptos" w:eastAsia="Aptos" w:hAnsi="Aptos"/>
          <w:color w:val="1E2833"/>
          <w:sz w:val="20"/>
          <w:szCs w:val="20"/>
        </w:rPr>
        <w:t xml:space="preserve">Hotline reports are passed to SteelRiver without your identity unless you agree otherwise.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Protections</w:t>
      </w:r>
    </w:p>
    <w:p>
      <w:pPr>
        <w:spacing w:before="0" w:after="120" w:line="276"/>
      </w:pPr>
      <w:r>
        <w:rPr>
          <w:rFonts w:ascii="Aptos" w:cs="Aptos" w:eastAsia="Aptos" w:hAnsi="Aptos"/>
          <w:b/>
          <w:bCs/>
          <w:color w:val="1E2833"/>
          <w:sz w:val="20"/>
          <w:szCs w:val="20"/>
        </w:rPr>
        <w:t xml:space="preserve">Retaliation is prohibited.</w:t>
      </w:r>
      <w:r>
        <w:rPr>
          <w:rFonts w:ascii="Aptos" w:cs="Aptos" w:eastAsia="Aptos" w:hAnsi="Aptos"/>
          <w:color w:val="1E2833"/>
          <w:sz w:val="20"/>
          <w:szCs w:val="20"/>
        </w:rPr>
        <w:t xml:space="preserve"> No one at SteelRiver may cause or threaten to cause detriment to a person because they have made, or might make, a report under this policy. Detriment includes dismissal, demotion, changed shifts or duties to their disadvantage, exclusion, harassment, intimidation, harm or injury, damage to property, reputation or financial position, and any other damage.</w:t>
      </w:r>
    </w:p>
    <w:p>
      <w:pPr>
        <w:spacing w:before="120" w:after="120" w:line="276"/>
      </w:pPr>
      <w:r>
        <w:rPr>
          <w:rFonts w:ascii="Aptos" w:cs="Aptos" w:eastAsia="Aptos" w:hAnsi="Aptos"/>
          <w:color w:val="1E2833"/>
          <w:sz w:val="20"/>
          <w:szCs w:val="20"/>
        </w:rPr>
        <w:t xml:space="preserve">When a disclosure qualifies for protection under the Corporations Act 2001 (Cth), the law in general terms:</w:t>
      </w:r>
    </w:p>
    <w:p>
      <w:pPr>
        <w:pStyle w:val="ListParagraph"/>
        <w:numPr>
          <w:ilvl w:val="0"/>
          <w:numId w:val="2"/>
        </w:numPr>
        <w:spacing w:after="60" w:line="264"/>
      </w:pPr>
      <w:r>
        <w:rPr>
          <w:rFonts w:ascii="Aptos" w:cs="Aptos" w:eastAsia="Aptos" w:hAnsi="Aptos"/>
          <w:color w:val="1E2833"/>
          <w:sz w:val="20"/>
          <w:szCs w:val="20"/>
        </w:rPr>
        <w:t xml:space="preserve">makes it an offence to disclose the whistleblower's identity without consent, except as the law allows</w:t>
      </w:r>
    </w:p>
    <w:p>
      <w:pPr>
        <w:pStyle w:val="ListParagraph"/>
        <w:numPr>
          <w:ilvl w:val="0"/>
          <w:numId w:val="2"/>
        </w:numPr>
        <w:spacing w:after="60" w:line="264"/>
      </w:pPr>
      <w:r>
        <w:rPr>
          <w:rFonts w:ascii="Aptos" w:cs="Aptos" w:eastAsia="Aptos" w:hAnsi="Aptos"/>
          <w:color w:val="1E2833"/>
          <w:sz w:val="20"/>
          <w:szCs w:val="20"/>
        </w:rPr>
        <w:t xml:space="preserve">makes it an offence to cause or threaten detriment because of the disclosure</w:t>
      </w:r>
    </w:p>
    <w:p>
      <w:pPr>
        <w:pStyle w:val="ListParagraph"/>
        <w:numPr>
          <w:ilvl w:val="0"/>
          <w:numId w:val="2"/>
        </w:numPr>
        <w:spacing w:after="60" w:line="264"/>
      </w:pPr>
      <w:r>
        <w:rPr>
          <w:rFonts w:ascii="Aptos" w:cs="Aptos" w:eastAsia="Aptos" w:hAnsi="Aptos"/>
          <w:color w:val="1E2833"/>
          <w:sz w:val="20"/>
          <w:szCs w:val="20"/>
        </w:rPr>
        <w:t xml:space="preserve">protects the whistleblower from civil, criminal and administrative liability (including disciplinary action) for making the disclosure, although not for their own part in any wrongdoing they report</w:t>
      </w:r>
    </w:p>
    <w:p>
      <w:pPr>
        <w:pStyle w:val="ListParagraph"/>
        <w:numPr>
          <w:ilvl w:val="0"/>
          <w:numId w:val="2"/>
        </w:numPr>
        <w:spacing w:after="60" w:line="264"/>
      </w:pPr>
      <w:r>
        <w:rPr>
          <w:rFonts w:ascii="Aptos" w:cs="Aptos" w:eastAsia="Aptos" w:hAnsi="Aptos"/>
          <w:color w:val="1E2833"/>
          <w:sz w:val="20"/>
          <w:szCs w:val="20"/>
        </w:rPr>
        <w:t xml:space="preserve">allows a court to order compensation and other remedies if a person suffers detriment, or SteelRiver fails to take reasonable precautions to prevent it.</w:t>
      </w:r>
    </w:p>
    <w:p>
      <w:pPr>
        <w:spacing w:before="120" w:after="120" w:line="276"/>
      </w:pPr>
      <w:r>
        <w:rPr>
          <w:rFonts w:ascii="Aptos" w:cs="Aptos" w:eastAsia="Aptos" w:hAnsi="Aptos"/>
          <w:color w:val="1E2833"/>
          <w:sz w:val="20"/>
          <w:szCs w:val="20"/>
        </w:rPr>
        <w:t xml:space="preserve">Similar protections apply to some tax-related disclosures under tax law. SteelRiver applies the protections in this policy to everyone who speaks up in good faith, whether or not their report meets the legal test.</w:t>
      </w:r>
    </w:p>
    <w:p>
      <w:pPr>
        <w:spacing w:before="0" w:after="120" w:line="276"/>
      </w:pPr>
      <w:r>
        <w:rPr>
          <w:rFonts w:ascii="Aptos" w:cs="Aptos" w:eastAsia="Aptos" w:hAnsi="Aptos"/>
          <w:b/>
          <w:bCs/>
          <w:color w:val="1E2833"/>
          <w:sz w:val="20"/>
          <w:szCs w:val="20"/>
        </w:rPr>
        <w:t xml:space="preserve">Practical protection.</w:t>
      </w:r>
      <w:r>
        <w:rPr>
          <w:rFonts w:ascii="Aptos" w:cs="Aptos" w:eastAsia="Aptos" w:hAnsi="Aptos"/>
          <w:color w:val="1E2833"/>
          <w:sz w:val="20"/>
          <w:szCs w:val="20"/>
        </w:rPr>
        <w:t xml:space="preserve"> The Whistleblower Protection Officer agrees support with the person who reported, such as a contact person, changes to reporting lines or shifts, leave, or EAP support, and checks with them during and after the investigation that they have not suffered detriment. Anyone who believes they have suffered detriment should tell the Whistleblower Protection Officer or the hotline straight away. Retaliation is serious misconduct under SRL-CR-020 Code of Conduct and SRL-CR-039.</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How SteelRiver handles a report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700"/>
        <w:gridCol w:w="2200"/>
        <w:gridCol w:w="1452"/>
      </w:tblGrid>
      <w:tr>
        <w:trPr>
          <w:cantSplit/>
          <w:tblHeader/>
        </w:trPr>
        <w:tc>
          <w:tcPr>
            <w:tcW w:type="dxa" w:w="1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4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happens</w:t>
            </w:r>
          </w:p>
        </w:tc>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c>
          <w:tcPr>
            <w:tcW w:type="dxa" w:w="14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Timeframe</w:t>
            </w:r>
          </w:p>
        </w:tc>
      </w:tr>
      <w:tr>
        <w:trPr>
          <w:cantSplit/>
        </w:trPr>
        <w:tc>
          <w:tcPr>
            <w:tcW w:type="dxa" w:w="1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Receive</w:t>
            </w:r>
          </w:p>
        </w:tc>
        <w:tc>
          <w:tcPr>
            <w:tcW w:type="dxa" w:w="4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report is recorded. The hotline provider sends it to the Whistleblower Protection Officer, without identifying details unless the person agrees.</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Hotline provider or the person who received it</w:t>
            </w:r>
          </w:p>
        </w:tc>
        <w:tc>
          <w:tcPr>
            <w:tcW w:type="dxa" w:w="1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1 business day</w:t>
            </w:r>
          </w:p>
        </w:tc>
      </w:tr>
      <w:tr>
        <w:trPr>
          <w:cantSplit/>
        </w:trPr>
        <w:tc>
          <w:tcPr>
            <w:tcW w:type="dxa" w:w="1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Acknowledge</w:t>
            </w:r>
          </w:p>
        </w:tc>
        <w:tc>
          <w:tcPr>
            <w:tcW w:type="dxa" w:w="4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person who reported is told the report has been received and who to contact. Anonymous reporters receive this through the hotline reference number.</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Whistleblower Protection Officer</w:t>
            </w:r>
          </w:p>
        </w:tc>
        <w:tc>
          <w:tcPr>
            <w:tcW w:type="dxa" w:w="1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2 business days</w:t>
            </w:r>
          </w:p>
        </w:tc>
      </w:tr>
      <w:tr>
        <w:trPr>
          <w:cantSplit/>
        </w:trPr>
        <w:tc>
          <w:tcPr>
            <w:tcW w:type="dxa" w:w="1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Assess</w:t>
            </w:r>
          </w:p>
        </w:tc>
        <w:tc>
          <w:tcPr>
            <w:tcW w:type="dxa" w:w="4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Decide whether the report is reportable conduct under this policy or belongs in another process (for example SRL-CR-035, SRL-CR-032 or SRL-CR-040), whether it needs investigation, and whether anyone is at risk. WHS hazards are passed to the WHS Coordinator or National WHS Manager straight away, without identifying the reporter.</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Whistleblower Investigation Officer (Chief Financial Officer), with the Whistleblower Protection Officer</w:t>
            </w:r>
          </w:p>
        </w:tc>
        <w:tc>
          <w:tcPr>
            <w:tcW w:type="dxa" w:w="1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5 business days</w:t>
            </w:r>
          </w:p>
        </w:tc>
      </w:tr>
      <w:tr>
        <w:trPr>
          <w:cantSplit/>
        </w:trPr>
        <w:tc>
          <w:tcPr>
            <w:tcW w:type="dxa" w:w="1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Investigate</w:t>
            </w:r>
          </w:p>
        </w:tc>
        <w:tc>
          <w:tcPr>
            <w:tcW w:type="dxa" w:w="4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 impartial investigator, internal or external, who has not been involved in the matter gathers evidence. People mentioned in the report are told about the allegations and can respond before any finding is made.</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Investigator appointed by the Whistleblower Investigation Officer</w:t>
            </w:r>
          </w:p>
        </w:tc>
        <w:tc>
          <w:tcPr>
            <w:tcW w:type="dxa" w:w="1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Target 60 business days; the reporter is updated at least every 20 business days</w:t>
            </w:r>
          </w:p>
        </w:tc>
      </w:tr>
      <w:tr>
        <w:trPr>
          <w:cantSplit/>
        </w:trPr>
        <w:tc>
          <w:tcPr>
            <w:tcW w:type="dxa" w:w="1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Outcome</w:t>
            </w:r>
          </w:p>
        </w:tc>
        <w:tc>
          <w:tcPr>
            <w:tcW w:type="dxa" w:w="4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Findings are made on the balance of probabilities and reported to the Chief Executive Officer (or the Chair of the Board if the Chief Executive Officer is involved). Actions may include changes to controls, disciplinary action under SRL-CR-039 or referral to a regulator or police. The reporter is told the outcome as far as privacy and the law allow.</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Whistleblower Investigation Officer</w:t>
            </w:r>
          </w:p>
        </w:tc>
        <w:tc>
          <w:tcPr>
            <w:tcW w:type="dxa" w:w="1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10 business days of the findings</w:t>
            </w:r>
          </w:p>
        </w:tc>
      </w:tr>
    </w:tbl>
    <w:p>
      <w:pPr>
        <w:spacing w:before="120" w:after="120" w:line="276"/>
      </w:pPr>
      <w:r>
        <w:rPr>
          <w:rFonts w:ascii="Aptos" w:cs="Aptos" w:eastAsia="Aptos" w:hAnsi="Aptos"/>
          <w:color w:val="1E2833"/>
          <w:sz w:val="20"/>
          <w:szCs w:val="20"/>
        </w:rPr>
        <w:t xml:space="preserve">If the Whistleblower Investigation Officer is involved in the matter, the Chief Executive Officer appoints another officer to that role for the report.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Fair treatment of people named in a report</w:t>
      </w:r>
    </w:p>
    <w:p>
      <w:pPr>
        <w:spacing w:before="0" w:after="120" w:line="276"/>
      </w:pPr>
      <w:r>
        <w:rPr>
          <w:rFonts w:ascii="Aptos" w:cs="Aptos" w:eastAsia="Aptos" w:hAnsi="Aptos"/>
          <w:color w:val="1E2833"/>
          <w:sz w:val="20"/>
          <w:szCs w:val="20"/>
        </w:rPr>
        <w:t xml:space="preserve">A report is not a finding. People named in a report are treated fairly: the matter is kept confidential, they are told the substance of the allegations before any adverse finding, they may respond and bring a support person to interviews, and they are offered EAP support. No action is taken against them unless the allegations are substantiated through a fair process.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Records, reporting and privacy</w:t>
      </w:r>
    </w:p>
    <w:p>
      <w:pPr>
        <w:pStyle w:val="ListParagraph"/>
        <w:numPr>
          <w:ilvl w:val="0"/>
          <w:numId w:val="2"/>
        </w:numPr>
        <w:spacing w:after="60" w:line="264"/>
      </w:pPr>
      <w:r>
        <w:rPr>
          <w:rFonts w:ascii="Aptos" w:cs="Aptos" w:eastAsia="Aptos" w:hAnsi="Aptos"/>
          <w:color w:val="1E2833"/>
          <w:sz w:val="20"/>
          <w:szCs w:val="20"/>
        </w:rPr>
        <w:t xml:space="preserve">Reports, investigation records and outcomes are kept in a restricted area managed by the Whistleblower Protection Officer, not on personnel files, and kept for 7 years after the matter is closed (SRL-CR-019).</w:t>
      </w:r>
    </w:p>
    <w:p>
      <w:pPr>
        <w:pStyle w:val="ListParagraph"/>
        <w:numPr>
          <w:ilvl w:val="0"/>
          <w:numId w:val="2"/>
        </w:numPr>
        <w:spacing w:after="60" w:line="264"/>
      </w:pPr>
      <w:r>
        <w:rPr>
          <w:rFonts w:ascii="Aptos" w:cs="Aptos" w:eastAsia="Aptos" w:hAnsi="Aptos"/>
          <w:color w:val="1E2833"/>
          <w:sz w:val="20"/>
          <w:szCs w:val="20"/>
        </w:rPr>
        <w:t xml:space="preserve">Personal information is handled under SRL-CR-018 Information Privacy and Confidentiality Policy.</w:t>
      </w:r>
    </w:p>
    <w:p>
      <w:pPr>
        <w:pStyle w:val="ListParagraph"/>
        <w:numPr>
          <w:ilvl w:val="0"/>
          <w:numId w:val="2"/>
        </w:numPr>
        <w:spacing w:after="60" w:line="264"/>
      </w:pPr>
      <w:r>
        <w:rPr>
          <w:rFonts w:ascii="Aptos" w:cs="Aptos" w:eastAsia="Aptos" w:hAnsi="Aptos"/>
          <w:color w:val="1E2833"/>
          <w:sz w:val="20"/>
          <w:szCs w:val="20"/>
        </w:rPr>
        <w:t xml:space="preserve">The Board receives a de-identified summary of reports, themes, timeframes and outcomes every six months.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Making this policy available</w:t>
      </w:r>
    </w:p>
    <w:p>
      <w:pPr>
        <w:spacing w:before="0" w:after="120" w:line="276"/>
      </w:pPr>
      <w:r>
        <w:rPr>
          <w:rFonts w:ascii="Aptos" w:cs="Aptos" w:eastAsia="Aptos" w:hAnsi="Aptos"/>
          <w:color w:val="1E2833"/>
          <w:sz w:val="20"/>
          <w:szCs w:val="20"/>
        </w:rPr>
        <w:t xml:space="preserve">This policy is on the SteelRiver intranet and SharePoint document library, and the conduct hotline number is on notice boards at every site. The Speak Up channels are covered at induction (SRL-CR-048). Officers, senior managers and HR Business Partners are trained in receiving disclosures when they start in the role and every two years.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Board</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Oversees this policy and receives the six-monthly summary.</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Chief Executive Officer</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Approves this policy; receives investigation outcomes; appoints a replacement Whistleblower Investigation Officer where needed.</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Whistleblower Protection Officer (Head of People and Culture)</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receives reports; protects and supports people who speak up; keeps records; manages the hotline contract.</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Whistleblower Investigation Officer (Chief Financial Officer)</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Assesses reports, appoints investigators and reports outcomes.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Officers, managers and supervisors</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Pass any report received to the Whistleblower Protection Officer the same day, keep it confidential and prevent retaliation.</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Everyone</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Speak up about wrongdoing; keep matters confidential; never retaliate.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Related documents</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SRL-CR-019 Document Control and Records Management Policy</w:t>
      </w:r>
    </w:p>
    <w:p>
      <w:pPr>
        <w:pStyle w:val="ListParagraph"/>
        <w:numPr>
          <w:ilvl w:val="0"/>
          <w:numId w:val="2"/>
        </w:numPr>
        <w:spacing w:after="60" w:line="264"/>
      </w:pPr>
      <w:r>
        <w:rPr>
          <w:rFonts w:ascii="Aptos" w:cs="Aptos" w:eastAsia="Aptos" w:hAnsi="Aptos"/>
          <w:color w:val="1E2833"/>
          <w:sz w:val="20"/>
          <w:szCs w:val="20"/>
        </w:rPr>
        <w:t xml:space="preserve">SRL-CR-020 Code of Conduct</w:t>
      </w:r>
    </w:p>
    <w:p>
      <w:pPr>
        <w:pStyle w:val="ListParagraph"/>
        <w:numPr>
          <w:ilvl w:val="0"/>
          <w:numId w:val="2"/>
        </w:numPr>
        <w:spacing w:after="60" w:line="264"/>
      </w:pPr>
      <w:r>
        <w:rPr>
          <w:rFonts w:ascii="Aptos" w:cs="Aptos" w:eastAsia="Aptos" w:hAnsi="Aptos"/>
          <w:color w:val="1E2833"/>
          <w:sz w:val="20"/>
          <w:szCs w:val="20"/>
        </w:rPr>
        <w:t xml:space="preserve">SRL-CR-032 WHS Issue Resolution Procedure; SRL-CR-035 Incident Reporting and Investigation Procedure</w:t>
      </w:r>
    </w:p>
    <w:p>
      <w:pPr>
        <w:pStyle w:val="ListParagraph"/>
        <w:numPr>
          <w:ilvl w:val="0"/>
          <w:numId w:val="2"/>
        </w:numPr>
        <w:spacing w:after="60" w:line="264"/>
      </w:pPr>
      <w:r>
        <w:rPr>
          <w:rFonts w:ascii="Aptos" w:cs="Aptos" w:eastAsia="Aptos" w:hAnsi="Aptos"/>
          <w:color w:val="1E2833"/>
          <w:sz w:val="20"/>
          <w:szCs w:val="20"/>
        </w:rPr>
        <w:t xml:space="preserve">SRL-CR-039 Termination and Disciplinary Procedure; SRL-CR-040 Grievance Procedure</w:t>
      </w:r>
    </w:p>
    <w:p>
      <w:pPr>
        <w:pStyle w:val="ListParagraph"/>
        <w:numPr>
          <w:ilvl w:val="0"/>
          <w:numId w:val="2"/>
        </w:numPr>
        <w:spacing w:after="60" w:line="264"/>
      </w:pPr>
      <w:r>
        <w:rPr>
          <w:rFonts w:ascii="Aptos" w:cs="Aptos" w:eastAsia="Aptos" w:hAnsi="Aptos"/>
          <w:color w:val="1E2833"/>
          <w:sz w:val="20"/>
          <w:szCs w:val="20"/>
        </w:rPr>
        <w:t xml:space="preserve">SRL-CR-044 Psychosocial Hazard Management Procedure; SRL-CR-048 Induction Procedure</w:t>
      </w:r>
    </w:p>
    <w:p>
      <w:pPr>
        <w:pStyle w:val="ListParagraph"/>
        <w:numPr>
          <w:ilvl w:val="0"/>
          <w:numId w:val="2"/>
        </w:numPr>
        <w:spacing w:after="60" w:line="264"/>
      </w:pPr>
      <w:r>
        <w:rPr>
          <w:rFonts w:ascii="Aptos" w:cs="Aptos" w:eastAsia="Aptos" w:hAnsi="Aptos"/>
          <w:color w:val="1E2833"/>
          <w:sz w:val="20"/>
          <w:szCs w:val="20"/>
        </w:rPr>
        <w:t xml:space="preserve">SRL-CR-053 Employee Assistance Program and Wellbeing Support Procedure</w:t>
      </w:r>
    </w:p>
    <w:p>
      <w:pPr>
        <w:pStyle w:val="ListParagraph"/>
        <w:numPr>
          <w:ilvl w:val="0"/>
          <w:numId w:val="2"/>
        </w:numPr>
        <w:spacing w:after="60" w:line="264"/>
      </w:pPr>
      <w:r>
        <w:rPr>
          <w:rFonts w:ascii="Aptos" w:cs="Aptos" w:eastAsia="Aptos" w:hAnsi="Aptos"/>
          <w:color w:val="1E2833"/>
          <w:sz w:val="20"/>
          <w:szCs w:val="20"/>
        </w:rPr>
        <w:t xml:space="preserve">Corporations Act 2001 (Cth), Part 9.4AAA; Taxation Administration Act 1953 (Cth)</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December 2025</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Renamed Speak Up and Whistleblower Protection Policy. Conduct hotline 1800-SRL-LINE confirmed as an external service separate from the EAP. WHS reporting channels and the boundary with SRL-CR-040 set out. Handling steps and timeframes added.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2020</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(Whistleblower Policy), to meet the whistleblower policy requirement for large proprietary companies.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SRL-CR-023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SRL-CR-023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SRL-CR-023  ·  Speak Up and Whistleblower Protection Policy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SRL-CR-023 Speak Up and Whistleblower Protection Policy</dc:title>
  <dc:creator>SteelRiver Logistics Pty Ltd</dc:creator>
  <cp:lastModifiedBy>Un-named</cp:lastModifiedBy>
  <cp:revision>1</cp:revision>
  <dcterms:created xsi:type="dcterms:W3CDTF">2026-10-28T10:03:35.556Z</dcterms:created>
  <dcterms:modified xsi:type="dcterms:W3CDTF">2026-10-28T10:03:35.557Z</dcterms:modified>
</cp:coreProperties>
</file>

<file path=docProps/custom.xml><?xml version="1.0" encoding="utf-8"?>
<Properties xmlns="http://schemas.openxmlformats.org/officeDocument/2006/custom-properties" xmlns:vt="http://schemas.openxmlformats.org/officeDocument/2006/docPropsVTypes"/>
</file>