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86690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5E7C99"/>
                <w:spacing w:val="40"/>
                <w:sz w:val="17"/>
                <w:szCs w:val="17"/>
              </w:rPr>
              <w:t xml:space="preserve">POLICY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13056"/>
                <w:sz w:val="36"/>
                <w:szCs w:val="36"/>
              </w:rPr>
              <w:t xml:space="preserve">SRL-CR-026</w:t>
            </w:r>
          </w:p>
        </w:tc>
      </w:tr>
    </w:tbl>
    <w:p>
      <w:pPr>
        <w:pBdr>
          <w:top w:val="single" w:color="013056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13056"/>
          <w:sz w:val="52"/>
          <w:szCs w:val="52"/>
        </w:rPr>
        <w:t xml:space="preserve">Performance Indicators and KPI Framework</w:t>
      </w:r>
    </w:p>
    <w:p>
      <w:pPr>
        <w:spacing w:before="0" w:after="160" w:line="276"/>
      </w:pPr>
      <w:r>
        <w:rPr>
          <w:rFonts w:ascii="Aptos" w:cs="Aptos" w:eastAsia="Aptos" w:hAnsi="Aptos"/>
          <w:color w:val="5E7C99"/>
          <w:sz w:val="24"/>
          <w:szCs w:val="24"/>
        </w:rPr>
        <w:t xml:space="preserve">Indicators used to measure individual, team and site performance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SRL-CR-026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2.0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Lila Petrov, Head of People and Culture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 July 2026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Rajesh Iyengar, Chief Executive Officer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June 2027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All SteelRiver distribution centres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1. Purpose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This Framework sets out the performance indicators used at SteelRiver to measure individual, team and site performance. It supports consistent and fair assessment, links day-to-day activity to organisational objectives, and provides the basis for recognition and improvement decisions.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2. Principles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Indicators are SMART: Specific, Measurable, Achievable, Relevant, Time-bound.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Indicators are agreed in advance with the worker, before the period to which they apply.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Indicators include both lead measures (drivers) and lag measures (outcomes).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Indicators include behaviour as well as outcome, so workers are not penalised for outcomes outside their control.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Indicators do not measure trivia. If an indicator does not change a decision, it is not used.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3. Site KPIs (distribution centre level)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00"/>
        <w:gridCol w:w="1800"/>
        <w:gridCol w:w="1500"/>
        <w:gridCol w:w="2452"/>
      </w:tblGrid>
      <w:tr>
        <w:trPr>
          <w:cantSplit/>
          <w:tblHeader/>
        </w:trPr>
        <w:tc>
          <w:tcPr>
            <w:tcW w:type="dxa" w:w="40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Indicator</w:t>
            </w:r>
          </w:p>
        </w:tc>
        <w:tc>
          <w:tcPr>
            <w:tcW w:type="dxa" w:w="1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Target</w:t>
            </w:r>
          </w:p>
        </w:tc>
        <w:tc>
          <w:tcPr>
            <w:tcW w:type="dxa" w:w="15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Frequency</w:t>
            </w:r>
          </w:p>
        </w:tc>
        <w:tc>
          <w:tcPr>
            <w:tcW w:type="dxa" w:w="24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Stock accuracy</w:t>
            </w: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least 98%</w:t>
            </w: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Weekly</w:t>
            </w:r>
          </w:p>
        </w:tc>
        <w:tc>
          <w:tcPr>
            <w:tcW w:type="dxa" w:w="24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DC Manager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Pick error rate</w:t>
            </w: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most 0.5%</w:t>
            </w: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Daily</w:t>
            </w:r>
          </w:p>
        </w:tc>
        <w:tc>
          <w:tcPr>
            <w:tcW w:type="dxa" w:w="24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DC Manager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On-time delivery to customer</w:t>
            </w: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least 99%</w:t>
            </w: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Daily</w:t>
            </w:r>
          </w:p>
        </w:tc>
        <w:tc>
          <w:tcPr>
            <w:tcW w:type="dxa" w:w="24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DC Manager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Lost time injury frequency rate (LTIFR)</w:t>
            </w: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0</w:t>
            </w: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Monthly</w:t>
            </w:r>
          </w:p>
        </w:tc>
        <w:tc>
          <w:tcPr>
            <w:tcW w:type="dxa" w:w="24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DC Manager and WHS Coordinator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Overtime as a percentage of base hours</w:t>
            </w: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most 8%</w:t>
            </w: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Weekly</w:t>
            </w:r>
          </w:p>
        </w:tc>
        <w:tc>
          <w:tcPr>
            <w:tcW w:type="dxa" w:w="24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DC Manager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Customer complaint resolution time</w:t>
            </w: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Within 48 hours</w:t>
            </w: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Per case</w:t>
            </w:r>
          </w:p>
        </w:tc>
        <w:tc>
          <w:tcPr>
            <w:tcW w:type="dxa" w:w="24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DC Manager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Worker engagement score (annual survey)</w:t>
            </w:r>
          </w:p>
        </w:tc>
        <w:tc>
          <w:tcPr>
            <w:tcW w:type="dxa" w:w="1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least 75</w:t>
            </w: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Annual</w:t>
            </w:r>
          </w:p>
        </w:tc>
        <w:tc>
          <w:tcPr>
            <w:tcW w:type="dxa" w:w="24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DC Manager</w:t>
            </w:r>
          </w:p>
        </w:tc>
      </w:tr>
    </w:tbl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4. Shift Supervisor KPIs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Each shift supervisor at a distribution centre is measured against the following indicators: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00"/>
        <w:gridCol w:w="2000"/>
        <w:gridCol w:w="1400"/>
        <w:gridCol w:w="2052"/>
      </w:tblGrid>
      <w:tr>
        <w:trPr>
          <w:cantSplit/>
          <w:tblHeader/>
        </w:trPr>
        <w:tc>
          <w:tcPr>
            <w:tcW w:type="dxa" w:w="43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Indicator</w:t>
            </w:r>
          </w:p>
        </w:tc>
        <w:tc>
          <w:tcPr>
            <w:tcW w:type="dxa" w:w="20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Target</w:t>
            </w:r>
          </w:p>
        </w:tc>
        <w:tc>
          <w:tcPr>
            <w:tcW w:type="dxa" w:w="14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Frequency</w:t>
            </w:r>
          </w:p>
        </w:tc>
        <w:tc>
          <w:tcPr>
            <w:tcW w:type="dxa" w:w="20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Behaviour or outcome</w:t>
            </w:r>
          </w:p>
        </w:tc>
      </w:tr>
      <w:tr>
        <w:trPr>
          <w:cantSplit/>
        </w:trPr>
        <w:tc>
          <w:tcPr>
            <w:tcW w:type="dxa" w:w="4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Shift pick error rate</w:t>
            </w: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most 0.5%</w:t>
            </w:r>
          </w:p>
        </w:tc>
        <w:tc>
          <w:tcPr>
            <w:tcW w:type="dxa" w:w="1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Daily</w:t>
            </w:r>
          </w:p>
        </w:tc>
        <w:tc>
          <w:tcPr>
            <w:tcW w:type="dxa" w:w="20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Outcome</w:t>
            </w:r>
          </w:p>
        </w:tc>
      </w:tr>
      <w:tr>
        <w:trPr>
          <w:cantSplit/>
        </w:trPr>
        <w:tc>
          <w:tcPr>
            <w:tcW w:type="dxa" w:w="4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Shift on-time despatch</w:t>
            </w: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least 99%</w:t>
            </w:r>
          </w:p>
        </w:tc>
        <w:tc>
          <w:tcPr>
            <w:tcW w:type="dxa" w:w="1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Daily</w:t>
            </w:r>
          </w:p>
        </w:tc>
        <w:tc>
          <w:tcPr>
            <w:tcW w:type="dxa" w:w="20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Outcome</w:t>
            </w:r>
          </w:p>
        </w:tc>
      </w:tr>
      <w:tr>
        <w:trPr>
          <w:cantSplit/>
        </w:trPr>
        <w:tc>
          <w:tcPr>
            <w:tcW w:type="dxa" w:w="4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Shift handover quality (rated by the next supervisor on a 1 to 5 scale)</w:t>
            </w: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least 4.0 average</w:t>
            </w:r>
          </w:p>
        </w:tc>
        <w:tc>
          <w:tcPr>
            <w:tcW w:type="dxa" w:w="1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Daily</w:t>
            </w:r>
          </w:p>
        </w:tc>
        <w:tc>
          <w:tcPr>
            <w:tcW w:type="dxa" w:w="20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Behaviour and outcome</w:t>
            </w:r>
          </w:p>
        </w:tc>
      </w:tr>
      <w:tr>
        <w:trPr>
          <w:cantSplit/>
        </w:trPr>
        <w:tc>
          <w:tcPr>
            <w:tcW w:type="dxa" w:w="4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Toolbox talks completed per month</w:t>
            </w: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least 4</w:t>
            </w:r>
          </w:p>
        </w:tc>
        <w:tc>
          <w:tcPr>
            <w:tcW w:type="dxa" w:w="1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Monthly</w:t>
            </w:r>
          </w:p>
        </w:tc>
        <w:tc>
          <w:tcPr>
            <w:tcW w:type="dxa" w:w="20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Behaviour</w:t>
            </w:r>
          </w:p>
        </w:tc>
      </w:tr>
      <w:tr>
        <w:trPr>
          <w:cantSplit/>
        </w:trPr>
        <w:tc>
          <w:tcPr>
            <w:tcW w:type="dxa" w:w="4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One-on-one check-ins with each direct report</w:t>
            </w: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least monthly</w:t>
            </w:r>
          </w:p>
        </w:tc>
        <w:tc>
          <w:tcPr>
            <w:tcW w:type="dxa" w:w="1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Monthly</w:t>
            </w:r>
          </w:p>
        </w:tc>
        <w:tc>
          <w:tcPr>
            <w:tcW w:type="dxa" w:w="20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Behaviour</w:t>
            </w:r>
          </w:p>
        </w:tc>
      </w:tr>
      <w:tr>
        <w:trPr>
          <w:cantSplit/>
        </w:trPr>
        <w:tc>
          <w:tcPr>
            <w:tcW w:type="dxa" w:w="4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Operator certification compliance rate</w:t>
            </w: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least 95%</w:t>
            </w:r>
          </w:p>
        </w:tc>
        <w:tc>
          <w:tcPr>
            <w:tcW w:type="dxa" w:w="1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Monthly</w:t>
            </w:r>
          </w:p>
        </w:tc>
        <w:tc>
          <w:tcPr>
            <w:tcW w:type="dxa" w:w="20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Outcome</w:t>
            </w:r>
          </w:p>
        </w:tc>
      </w:tr>
      <w:tr>
        <w:trPr>
          <w:cantSplit/>
        </w:trPr>
        <w:tc>
          <w:tcPr>
            <w:tcW w:type="dxa" w:w="4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Recognition events submitted</w:t>
            </w: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least 1 per quarter</w:t>
            </w:r>
          </w:p>
        </w:tc>
        <w:tc>
          <w:tcPr>
            <w:tcW w:type="dxa" w:w="1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Quarterly</w:t>
            </w:r>
          </w:p>
        </w:tc>
        <w:tc>
          <w:tcPr>
            <w:tcW w:type="dxa" w:w="20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Behaviour</w:t>
            </w:r>
          </w:p>
        </w:tc>
      </w:tr>
      <w:tr>
        <w:trPr>
          <w:cantSplit/>
        </w:trPr>
        <w:tc>
          <w:tcPr>
            <w:tcW w:type="dxa" w:w="43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Code of Conduct adherence</w:t>
            </w: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100%</w:t>
            </w:r>
          </w:p>
        </w:tc>
        <w:tc>
          <w:tcPr>
            <w:tcW w:type="dxa" w:w="1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Continuous</w:t>
            </w:r>
          </w:p>
        </w:tc>
        <w:tc>
          <w:tcPr>
            <w:tcW w:type="dxa" w:w="20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Behaviour</w:t>
            </w:r>
          </w:p>
        </w:tc>
      </w:tr>
    </w:tbl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5. Performance bands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Performance against indicators is summarised at the end of each review period using the following bands. The band is set on the balance of indicators, not on any single measure.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7352"/>
      </w:tblGrid>
      <w:tr>
        <w:trPr>
          <w:cantSplit/>
          <w:tblHeader/>
        </w:trPr>
        <w:tc>
          <w:tcPr>
            <w:tcW w:type="dxa" w:w="24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Band</w:t>
            </w:r>
          </w:p>
        </w:tc>
        <w:tc>
          <w:tcPr>
            <w:tcW w:type="dxa" w:w="73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Definition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1E2833"/>
                <w:sz w:val="20"/>
                <w:szCs w:val="20"/>
              </w:rPr>
              <w:t xml:space="preserve">Exceeds</w:t>
            </w:r>
          </w:p>
        </w:tc>
        <w:tc>
          <w:tcPr>
            <w:tcW w:type="dxa" w:w="73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or above target on at least six of eight indicators, with no indicator below 80 percent of target.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1E2833"/>
                <w:sz w:val="20"/>
                <w:szCs w:val="20"/>
              </w:rPr>
              <w:t xml:space="preserve">Meets</w:t>
            </w:r>
          </w:p>
        </w:tc>
        <w:tc>
          <w:tcPr>
            <w:tcW w:type="dxa" w:w="73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At or above target on at least four of eight indicators, with no indicator below 70 percent of target.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1E2833"/>
                <w:sz w:val="20"/>
                <w:szCs w:val="20"/>
              </w:rPr>
              <w:t xml:space="preserve">Needs improvement</w:t>
            </w:r>
          </w:p>
        </w:tc>
        <w:tc>
          <w:tcPr>
            <w:tcW w:type="dxa" w:w="73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Below target on three or more indicators, or below 70 percent of target on any single indicator.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1E2833"/>
                <w:sz w:val="20"/>
                <w:szCs w:val="20"/>
              </w:rPr>
              <w:t xml:space="preserve">Unsatisfactory</w:t>
            </w:r>
          </w:p>
        </w:tc>
        <w:tc>
          <w:tcPr>
            <w:tcW w:type="dxa" w:w="73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Below target on five or more indicators, or below 50 percent of target on any single indicator.</w:t>
            </w:r>
          </w:p>
        </w:tc>
      </w:tr>
    </w:tbl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6. Setting and confirming KPIs with workers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Indicators are set with workers in a documented conversation. The conversation must: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take place before the start of the review period (or within 14 days of a worker starting in a role)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cover both outcome and behaviour indicators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confirm the worker has the resources, training and authority needed to achieve the indicators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confirm the cadence of review (weekly, monthly, quarterly)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be recorded in the SRL HR system, signed by both parties.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7. Related documents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SRL-CR-021 Performance Management Policy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SRL-CR-022 Recognition and Rewards Policy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SRL-CR-064 Performance Improvement Plan Template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SRL-CR-012 WHS Management Plan and SRL-CR-055 WHS Performance Measurement and Reporting Procedure (WHS lead and lag indicators)</w:t>
      </w:r>
    </w:p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2.0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 July 2026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Reissued in the national document set with SteelRiver branding. Role titles updated to DC Manager and WHS Coordinator. Indicators, targets and bands unchanged.</w:t>
            </w:r>
          </w:p>
        </w:tc>
        <w:tc>
          <w:tcPr>
            <w:tcW w:type="dxa" w:w="2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Rajesh Iyengar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 July 2024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issue.</w:t>
            </w:r>
          </w:p>
        </w:tc>
        <w:tc>
          <w:tcPr>
            <w:tcW w:type="dxa" w:w="2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Rajesh Iyengar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SRL-CR-026 Version 2.0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SRL-CR-026 Version 2.0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13056" w:sz="6" w:space="6"/>
      </w:pBdr>
      <w:tabs>
        <w:tab w:val="right" w:pos="9752"/>
      </w:tabs>
    </w:pPr>
    <w:r>
      <w:drawing>
        <wp:inline distT="0" distB="0" distL="0" distR="0">
          <wp:extent cx="161925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b/>
        <w:bCs/>
        <w:color w:val="013056"/>
        <w:sz w:val="17"/>
        <w:szCs w:val="17"/>
      </w:rPr>
      <w:t xml:space="preserve">  SteelRiver Logistics</w:t>
    </w:r>
    <w:r>
      <w:rPr>
        <w:rFonts w:ascii="Aptos" w:cs="Aptos" w:eastAsia="Aptos" w:hAnsi="Aptos"/>
        <w:color w:val="5F6B77"/>
        <w:sz w:val="16"/>
        <w:szCs w:val="16"/>
      </w:rPr>
      <w:t xml:space="preserve">	SRL-CR-026  ·  Performance Indicators and KPI Framework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5E7C99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5E7C99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1305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f0f522d953708057eaf47c9f07cc03c6d7f53fc0.png"/><Relationship Id="rId11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cfb3180d16a8eee545abda86cd4375cdc466e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SRL-CR-026 Performance Indicators and KPI Framework</dc:title>
  <dc:creator>SteelRiver Logistics Pty Ltd</dc:creator>
  <cp:lastModifiedBy>Un-named</cp:lastModifiedBy>
  <cp:revision>1</cp:revision>
  <dcterms:created xsi:type="dcterms:W3CDTF">2026-10-28T08:26:10.823Z</dcterms:created>
  <dcterms:modified xsi:type="dcterms:W3CDTF">2026-10-28T08:26:10.823Z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