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r>
              <w:drawing>
                <wp:inline distT="0" distB="0" distL="0" distR="0">
                  <wp:extent cx="18669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66900" cy="666750"/>
                          </a:xfrm>
                          <a:prstGeom prst="rect">
                            <a:avLst/>
                          </a:prstGeom>
                        </pic:spPr>
                      </pic:pic>
                    </a:graphicData>
                  </a:graphic>
                </wp:inline>
              </w:drawing>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5E7C99"/>
                <w:spacing w:val="40"/>
                <w:sz w:val="17"/>
                <w:szCs w:val="17"/>
              </w:rPr>
              <w:t xml:space="preserve">PROCEDURE</w:t>
            </w:r>
          </w:p>
          <w:p>
            <w:pPr>
              <w:spacing w:after="0"/>
              <w:jc w:val="right"/>
            </w:pPr>
            <w:r>
              <w:rPr>
                <w:rFonts w:ascii="Aptos Display" w:cs="Aptos Display" w:eastAsia="Aptos Display" w:hAnsi="Aptos Display"/>
                <w:b/>
                <w:bCs/>
                <w:color w:val="013056"/>
                <w:sz w:val="36"/>
                <w:szCs w:val="36"/>
              </w:rPr>
              <w:t xml:space="preserve">SRL-CR-031</w:t>
            </w:r>
          </w:p>
        </w:tc>
      </w:tr>
    </w:tbl>
    <w:p>
      <w:pPr>
        <w:pBdr>
          <w:top w:val="single" w:color="013056" w:sz="18" w:space="14"/>
        </w:pBdr>
        <w:spacing w:before="200" w:after="80"/>
      </w:pPr>
      <w:r>
        <w:rPr>
          <w:rFonts w:ascii="Aptos Display" w:cs="Aptos Display" w:eastAsia="Aptos Display" w:hAnsi="Aptos Display"/>
          <w:b/>
          <w:bCs/>
          <w:color w:val="013056"/>
          <w:sz w:val="52"/>
          <w:szCs w:val="52"/>
        </w:rPr>
        <w:t xml:space="preserve">WHS Consultation and Participation Procedure (incl. HSR elections and work groups)</w:t>
      </w:r>
    </w:p>
    <w:p>
      <w:pPr>
        <w:spacing w:before="0" w:after="160" w:line="276"/>
      </w:pPr>
      <w:r>
        <w:rPr>
          <w:rFonts w:ascii="Aptos" w:cs="Aptos" w:eastAsia="Aptos" w:hAnsi="Aptos"/>
          <w:color w:val="5E7C99"/>
          <w:sz w:val="24"/>
          <w:szCs w:val="24"/>
        </w:rPr>
        <w:t xml:space="preserve">How SteelRiver consults workers and HSRs at the Perth DC</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number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SRL-CR-031</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Version</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3.0</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owner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WHS Coordinator, Perth DC</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Effective date</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 August 2022</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Approved by</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National WHS Manager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Next review</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August 2024</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Applies to</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Perth DC and Perth head office</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Status</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 Purpose</w:t>
      </w:r>
    </w:p>
    <w:p>
      <w:pPr>
        <w:spacing w:before="0" w:after="120" w:line="276"/>
      </w:pPr>
      <w:r>
        <w:rPr>
          <w:rFonts w:ascii="Aptos" w:cs="Aptos" w:eastAsia="Aptos" w:hAnsi="Aptos"/>
          <w:color w:val="1E2833"/>
          <w:sz w:val="20"/>
          <w:szCs w:val="20"/>
        </w:rPr>
        <w:t xml:space="preserve">This procedure sets out how SteelRiver Logistics Pty Ltd (SteelRiver) consults its workers and their health and safety representatives (HSRs) on work health and safety, how work groups are determined and HSRs elected, and how consultation is recorded. It gives effect to the consultation duties in Part 5 of the Work Health and Safety Act 2020 (WA) (WHS Act), which commenced on 31 March 2022, and the Work Health and Safety (General) Regulations 2022 (WA). The regulator is WorkSafe WA.</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2. Scope</w:t>
      </w:r>
    </w:p>
    <w:p>
      <w:pPr>
        <w:spacing w:before="0" w:after="120" w:line="276"/>
      </w:pPr>
      <w:r>
        <w:rPr>
          <w:rFonts w:ascii="Aptos" w:cs="Aptos" w:eastAsia="Aptos" w:hAnsi="Aptos"/>
          <w:color w:val="1E2833"/>
          <w:sz w:val="20"/>
          <w:szCs w:val="20"/>
        </w:rPr>
        <w:t xml:space="preserve">This procedure applies to all workers at the Perth DC and the Perth head office building, including full-time, part-time and casual employees, labour hire workers, and supervisors and managers. Consultation with other businesses that share duties with SteelRiver (contractors, labour hire providers, line haul subcontractors) is covered by SRL-CR-033 Consultation, Cooperation and Coordination with Other PCBUs Procedure. The Brisbane and Newcastle DCs follow the same principles under the WHS Act of their state.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3. Legal framework</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blHeader/>
        </w:trPr>
        <w:tc>
          <w:tcPr>
            <w:tcW w:type="dxa" w:w="3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Requirement</w:t>
            </w:r>
          </w:p>
        </w:tc>
        <w:tc>
          <w:tcPr>
            <w:tcW w:type="dxa" w:w="67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it means at SteelRiver</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Duty to consult workers (s.47)</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SteelRiver must, so far as is reasonably practicable, consult workers who carry out work for it and who are, or are likely to be, directly affected by a WHS matter.</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Nature of consultation (s.48)</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Relevant information is shared with workers; workers have a reasonable opportunity to express their views, raise WHS issues and contribute to decisions; their views are taken into account; they are told the outcome in a timely way. If workers are represented by an HSR, consultation must involve the HSR.</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When consultation is required (s.49)</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When identifying hazards and assessing risks; when deciding how to eliminate or minimise risks; when deciding on facilities for workers' welfare; when proposing changes that may affect health or safety; when deciding procedures for consultation, issue resolution, monitoring health and conditions, and providing information and training.</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Work groups and HSRs (Part 5 Division 3)</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Workers may ask for an HSR to be elected. Work groups are determined by negotiation with the workers. HSRs are elected by the members of their work group for a term of three years.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HSR powers and support (s.68, s.70, s.85, s.90)</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HSRs represent their work group, monitor WHS measures, investigate complaints and inspect the workplace (s.68). SteelRiver must consult HSRs, give them access to information, time and facilities (s.70) and approved training on request. A trained HSR may direct that unsafe work cease (s.85) and issue a provisional improvement notice (s.90). An HSR may ask for a review of control measures (reg 38(4)).</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Health and safety committee (s.75 to 79)</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Perth DC WHS Committee is the site committee. Its constitution is SRL-CR-016.</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Issue resolution (s.80 to 82)</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WHS issues are resolved under the agreed procedure, SRL-CR-032.</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Right to cease unsafe work (s.84)</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Any worker may cease work if they have a reasonable concern that it would expose them to a serious risk from an immediate or imminent hazard.</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Protection (Part 6)</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 one may be treated unfavourably, coerced or misled because they raise a WHS matter, are an HSR or take part in consultation.</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4. Roles and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6952"/>
      </w:tblGrid>
      <w:tr>
        <w:trPr>
          <w:cantSplit/>
          <w:tblHeader/>
        </w:trPr>
        <w:tc>
          <w:tcPr>
            <w:tcW w:type="dxa" w:w="2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9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Distribution Centre Manager</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Accountable for consultation at the Perth DC. Chairs the Perth DC WHS Committee. Makes sure changes are consulted on before decisions are made and that resources are available for HSRs and consultation.</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Operations Manager</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Releases workers and HSRs for consultation activities and HSR duties. Makes sure shift supervisors hold toolbox talks and paired site walks.</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Coordinator</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Owns this procedure. Coordinates consultation activities, keeps consultation records in MyOSH, checks the WHS suggestions inbox weekly, issues the weekly WHS digest and supports HSR elections.</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Shift supervisors</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Run the pre-start toolbox talk on every shift and record it on SRL-CR-074. Take part in paired site walks with an HSR. Pass on workers' views and concerns. First point of contact for WHS issues.</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HSRs and deputy HSRs</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Represent their work group in consultation, take part in paired site walks and the Committee, and exercise their powers under the WHS Act.</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People and Culture</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Provide translated or pictorial material when requested, and support HSR training bookings.</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All workers</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Take part in consultation, raise WHS matters with their supervisor or HSR, and follow agreed procedures.</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5. Consultation arrangements at the Perth DC</w:t>
      </w:r>
    </w:p>
    <w:p>
      <w:pPr>
        <w:spacing w:before="0" w:after="120" w:line="276"/>
      </w:pPr>
      <w:r>
        <w:rPr>
          <w:rFonts w:ascii="Aptos" w:cs="Aptos" w:eastAsia="Aptos" w:hAnsi="Aptos"/>
          <w:color w:val="1E2833"/>
          <w:sz w:val="20"/>
          <w:szCs w:val="20"/>
        </w:rPr>
        <w:t xml:space="preserve">SteelRiver consults through the following arrangements. More than one is normally used for any significant matter.</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5252"/>
        <w:gridCol w:w="2200"/>
      </w:tblGrid>
      <w:tr>
        <w:trPr>
          <w:cantSplit/>
          <w:tblHeader/>
        </w:trPr>
        <w:tc>
          <w:tcPr>
            <w:tcW w:type="dxa" w:w="23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Method</w:t>
            </w:r>
          </w:p>
        </w:tc>
        <w:tc>
          <w:tcPr>
            <w:tcW w:type="dxa" w:w="52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How it works</w:t>
            </w:r>
          </w:p>
        </w:tc>
        <w:tc>
          <w:tcPr>
            <w:tcW w:type="dxa" w:w="22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 leads it</w:t>
            </w:r>
          </w:p>
        </w:tc>
      </w:tr>
      <w:tr>
        <w:trPr>
          <w:cantSplit/>
        </w:trPr>
        <w:tc>
          <w:tcPr>
            <w:tcW w:type="dxa" w:w="2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Elected HSRs</w:t>
            </w:r>
          </w:p>
        </w:tc>
        <w:tc>
          <w:tcPr>
            <w:tcW w:type="dxa" w:w="52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One HSR for each of the five Perth DC work groups (Section 6 and Appendix A). HSRs are consulted on matters affecting their work group.</w:t>
            </w: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HSRs</w:t>
            </w:r>
          </w:p>
        </w:tc>
      </w:tr>
      <w:tr>
        <w:trPr>
          <w:cantSplit/>
        </w:trPr>
        <w:tc>
          <w:tcPr>
            <w:tcW w:type="dxa" w:w="2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Perth DC WHS Committee</w:t>
            </w:r>
          </w:p>
        </w:tc>
        <w:tc>
          <w:tcPr>
            <w:tcW w:type="dxa" w:w="52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Monthly site committee chaired by the DC Manager (SRL-CR-016).</w:t>
            </w:r>
          </w:p>
        </w:tc>
        <w:tc>
          <w:tcPr>
            <w:tcW w:type="dxa" w:w="2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DC Manager</w:t>
            </w:r>
          </w:p>
        </w:tc>
      </w:tr>
      <w:tr>
        <w:trPr>
          <w:cantSplit/>
        </w:trPr>
        <w:tc>
          <w:tcPr>
            <w:tcW w:type="dxa" w:w="2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Pre-start toolbox talks</w:t>
            </w:r>
          </w:p>
        </w:tc>
        <w:tc>
          <w:tcPr>
            <w:tcW w:type="dxa" w:w="52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Held at the start of each shift, 10 to 15 minutes. Covers hazards, incidents, changes and controls, and gives workers the chance to raise concerns. Recorded on SRL-CR-074.</w:t>
            </w: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Shift supervisor</w:t>
            </w:r>
          </w:p>
        </w:tc>
      </w:tr>
      <w:tr>
        <w:trPr>
          <w:cantSplit/>
        </w:trPr>
        <w:tc>
          <w:tcPr>
            <w:tcW w:type="dxa" w:w="2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Paired site walks</w:t>
            </w:r>
          </w:p>
        </w:tc>
        <w:tc>
          <w:tcPr>
            <w:tcW w:type="dxa" w:w="52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One walk every fortnight by a shift supervisor and an HSR, rotating through Zones A to C, the docks, the yard and the admin building and across the four shifts (morning, afternoon, overnight and weekend) over each quarter. Findings are entered in MyOSH.</w:t>
            </w:r>
          </w:p>
        </w:tc>
        <w:tc>
          <w:tcPr>
            <w:tcW w:type="dxa" w:w="2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Shift supervisor and HSR</w:t>
            </w:r>
          </w:p>
        </w:tc>
      </w:tr>
      <w:tr>
        <w:trPr>
          <w:cantSplit/>
        </w:trPr>
        <w:tc>
          <w:tcPr>
            <w:tcW w:type="dxa" w:w="2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suggestions inbox</w:t>
            </w:r>
          </w:p>
        </w:tc>
        <w:tc>
          <w:tcPr>
            <w:tcW w:type="dxa" w:w="52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Boxes in the crib rooms and an email address. Checked weekly by the WHS Coordinator; each suggestion is acknowledged within 7 days and the outcome reported back.</w:t>
            </w: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Coordinator</w:t>
            </w:r>
          </w:p>
        </w:tc>
      </w:tr>
      <w:tr>
        <w:trPr>
          <w:cantSplit/>
        </w:trPr>
        <w:tc>
          <w:tcPr>
            <w:tcW w:type="dxa" w:w="2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Weekly WHS digest</w:t>
            </w:r>
          </w:p>
        </w:tc>
        <w:tc>
          <w:tcPr>
            <w:tcW w:type="dxa" w:w="52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one-page email and noticeboard summary in English of incidents, hazards, changes and actions.</w:t>
            </w:r>
          </w:p>
        </w:tc>
        <w:tc>
          <w:tcPr>
            <w:tcW w:type="dxa" w:w="2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Coordinator</w:t>
            </w:r>
          </w:p>
        </w:tc>
      </w:tr>
      <w:tr>
        <w:trPr>
          <w:cantSplit/>
        </w:trPr>
        <w:tc>
          <w:tcPr>
            <w:tcW w:type="dxa" w:w="2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Urgent SMS</w:t>
            </w:r>
          </w:p>
        </w:tc>
        <w:tc>
          <w:tcPr>
            <w:tcW w:type="dxa" w:w="52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Urgent safety messages sent by SMS to supervisors and HSRs, who brief their crews.</w:t>
            </w: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Coordinator</w:t>
            </w:r>
          </w:p>
        </w:tc>
      </w:tr>
      <w:tr>
        <w:trPr>
          <w:cantSplit/>
        </w:trPr>
        <w:tc>
          <w:tcPr>
            <w:tcW w:type="dxa" w:w="2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Consultation on change</w:t>
            </w:r>
          </w:p>
        </w:tc>
        <w:tc>
          <w:tcPr>
            <w:tcW w:type="dxa" w:w="52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Meetings, workshops or briefings with affected workers and their HSRs before a change is decided (Section 7).</w:t>
            </w:r>
          </w:p>
        </w:tc>
        <w:tc>
          <w:tcPr>
            <w:tcW w:type="dxa" w:w="2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Manager proposing the change</w:t>
            </w:r>
          </w:p>
        </w:tc>
      </w:tr>
      <w:tr>
        <w:trPr>
          <w:cantSplit/>
        </w:trPr>
        <w:tc>
          <w:tcPr>
            <w:tcW w:type="dxa" w:w="2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Surveys</w:t>
            </w:r>
          </w:p>
        </w:tc>
        <w:tc>
          <w:tcPr>
            <w:tcW w:type="dxa" w:w="52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Periodic WHS surveys on SRL-CR-072, including the annual pulse survey run by People and Culture.</w:t>
            </w: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Coordinator and People and Culture</w:t>
            </w:r>
          </w:p>
        </w:tc>
      </w:tr>
    </w:tbl>
    <w:p>
      <w:pPr>
        <w:keepNext/>
        <w:spacing w:before="200" w:after="80"/>
      </w:pPr>
      <w:r>
        <w:rPr>
          <w:rFonts w:ascii="Aptos Display" w:cs="Aptos Display" w:eastAsia="Aptos Display" w:hAnsi="Aptos Display"/>
          <w:b/>
          <w:bCs/>
          <w:color w:val="5E7C99"/>
          <w:sz w:val="24"/>
          <w:szCs w:val="24"/>
        </w:rPr>
        <w:t xml:space="preserve">5.1 Language and literacy</w:t>
      </w:r>
    </w:p>
    <w:p>
      <w:pPr>
        <w:spacing w:before="0" w:after="120" w:line="276"/>
      </w:pPr>
      <w:r>
        <w:rPr>
          <w:rFonts w:ascii="Aptos" w:cs="Aptos" w:eastAsia="Aptos" w:hAnsi="Aptos"/>
          <w:color w:val="1E2833"/>
          <w:sz w:val="20"/>
          <w:szCs w:val="20"/>
        </w:rPr>
        <w:t xml:space="preserve">Toolbox talks and briefings are given in plain English. Supervisors should check that workers have understood. Translated material, pictorial versions of procedures, or an interpreter can be arranged on request through People and Culture.</w:t>
      </w:r>
    </w:p>
    <w:p>
      <w:pPr>
        <w:keepNext/>
        <w:spacing w:before="200" w:after="80"/>
      </w:pPr>
      <w:r>
        <w:rPr>
          <w:rFonts w:ascii="Aptos Display" w:cs="Aptos Display" w:eastAsia="Aptos Display" w:hAnsi="Aptos Display"/>
          <w:b/>
          <w:bCs/>
          <w:color w:val="5E7C99"/>
          <w:sz w:val="24"/>
          <w:szCs w:val="24"/>
        </w:rPr>
        <w:t xml:space="preserve">5.2 Time for consultation</w:t>
      </w:r>
    </w:p>
    <w:p>
      <w:pPr>
        <w:pStyle w:val="ListParagraph"/>
        <w:numPr>
          <w:ilvl w:val="0"/>
          <w:numId w:val="2"/>
        </w:numPr>
        <w:spacing w:after="60" w:line="264"/>
      </w:pPr>
      <w:r>
        <w:rPr>
          <w:rFonts w:ascii="Aptos" w:cs="Aptos" w:eastAsia="Aptos" w:hAnsi="Aptos"/>
          <w:color w:val="1E2833"/>
          <w:sz w:val="20"/>
          <w:szCs w:val="20"/>
        </w:rPr>
        <w:t xml:space="preserve">Toolbox talks are held in paid time at the start of each shift.</w:t>
      </w:r>
    </w:p>
    <w:p>
      <w:pPr>
        <w:pStyle w:val="ListParagraph"/>
        <w:numPr>
          <w:ilvl w:val="0"/>
          <w:numId w:val="2"/>
        </w:numPr>
        <w:spacing w:after="60" w:line="264"/>
      </w:pPr>
      <w:r>
        <w:rPr>
          <w:rFonts w:ascii="Aptos" w:cs="Aptos" w:eastAsia="Aptos" w:hAnsi="Aptos"/>
          <w:color w:val="1E2833"/>
          <w:sz w:val="20"/>
          <w:szCs w:val="20"/>
        </w:rPr>
        <w:t xml:space="preserve">Full-time and part-time employees who attend a consultation meeting, workshop or Committee meeting outside their rostered hours are paid at their ordinary rate.</w:t>
      </w:r>
    </w:p>
    <w:p>
      <w:pPr>
        <w:pStyle w:val="ListParagraph"/>
        <w:numPr>
          <w:ilvl w:val="0"/>
          <w:numId w:val="2"/>
        </w:numPr>
        <w:spacing w:after="60" w:line="264"/>
      </w:pPr>
      <w:r>
        <w:rPr>
          <w:rFonts w:ascii="Aptos" w:cs="Aptos" w:eastAsia="Aptos" w:hAnsi="Aptos"/>
          <w:color w:val="1E2833"/>
          <w:sz w:val="20"/>
          <w:szCs w:val="20"/>
        </w:rPr>
        <w:t xml:space="preserve">HSRs are paid for time spent on HSR duties and approved training.</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6. Work groups and HSR elections</w:t>
      </w:r>
    </w:p>
    <w:p>
      <w:pPr>
        <w:keepNext/>
        <w:spacing w:before="200" w:after="80"/>
      </w:pPr>
      <w:r>
        <w:rPr>
          <w:rFonts w:ascii="Aptos Display" w:cs="Aptos Display" w:eastAsia="Aptos Display" w:hAnsi="Aptos Display"/>
          <w:b/>
          <w:bCs/>
          <w:color w:val="5E7C99"/>
          <w:sz w:val="24"/>
          <w:szCs w:val="24"/>
        </w:rPr>
        <w:t xml:space="preserve">6.1 Work groups</w:t>
      </w:r>
    </w:p>
    <w:p>
      <w:pPr>
        <w:spacing w:before="0" w:after="120" w:line="276"/>
      </w:pPr>
      <w:r>
        <w:rPr>
          <w:rFonts w:ascii="Aptos" w:cs="Aptos" w:eastAsia="Aptos" w:hAnsi="Aptos"/>
          <w:color w:val="1E2833"/>
          <w:sz w:val="20"/>
          <w:szCs w:val="20"/>
        </w:rPr>
        <w:t xml:space="preserve">Work groups are determined by negotiation between SteelRiver and the workers who will make up the group, so that every worker in the group can readily approach their HSR. The Perth DC work groups were determined by negotiation in 2021 and are listed in Appendix A. A change to the work groups is negotiated in the same way, on request by workers or SteelRiver. If agreement cannot be reached, either party may ask WorkSafe WA to appoint an inspector to decide.</w:t>
      </w:r>
    </w:p>
    <w:p>
      <w:pPr>
        <w:keepNext/>
        <w:spacing w:before="200" w:after="80"/>
      </w:pPr>
      <w:r>
        <w:rPr>
          <w:rFonts w:ascii="Aptos Display" w:cs="Aptos Display" w:eastAsia="Aptos Display" w:hAnsi="Aptos Display"/>
          <w:b/>
          <w:bCs/>
          <w:color w:val="5E7C99"/>
          <w:sz w:val="24"/>
          <w:szCs w:val="24"/>
        </w:rPr>
        <w:t xml:space="preserve">6.2 Elections</w:t>
      </w:r>
    </w:p>
    <w:p>
      <w:pPr>
        <w:pStyle w:val="ListParagraph"/>
        <w:numPr>
          <w:ilvl w:val="0"/>
          <w:numId w:val="3"/>
        </w:numPr>
        <w:spacing w:after="60" w:line="264"/>
      </w:pPr>
      <w:r>
        <w:rPr>
          <w:rFonts w:ascii="Aptos" w:cs="Aptos" w:eastAsia="Aptos" w:hAnsi="Aptos"/>
          <w:color w:val="1E2833"/>
          <w:sz w:val="20"/>
          <w:szCs w:val="20"/>
        </w:rPr>
        <w:t xml:space="preserve">An election is held when a work group is first determined, when an HSR's term ends, or when an HSR resigns, leaves or is disqualified.</w:t>
      </w:r>
    </w:p>
    <w:p>
      <w:pPr>
        <w:pStyle w:val="ListParagraph"/>
        <w:numPr>
          <w:ilvl w:val="0"/>
          <w:numId w:val="3"/>
        </w:numPr>
        <w:spacing w:after="60" w:line="264"/>
      </w:pPr>
      <w:r>
        <w:rPr>
          <w:rFonts w:ascii="Aptos" w:cs="Aptos" w:eastAsia="Aptos" w:hAnsi="Aptos"/>
          <w:color w:val="1E2833"/>
          <w:sz w:val="20"/>
          <w:szCs w:val="20"/>
        </w:rPr>
        <w:t xml:space="preserve">The election is conducted by the members of the work group. The members may ask the WHS Coordinator or another person to act as returning officer.</w:t>
      </w:r>
    </w:p>
    <w:p>
      <w:pPr>
        <w:pStyle w:val="ListParagraph"/>
        <w:numPr>
          <w:ilvl w:val="0"/>
          <w:numId w:val="3"/>
        </w:numPr>
        <w:spacing w:after="60" w:line="264"/>
      </w:pPr>
      <w:r>
        <w:rPr>
          <w:rFonts w:ascii="Aptos" w:cs="Aptos" w:eastAsia="Aptos" w:hAnsi="Aptos"/>
          <w:color w:val="1E2833"/>
          <w:sz w:val="20"/>
          <w:szCs w:val="20"/>
        </w:rPr>
        <w:t xml:space="preserve">SteelRiver provides the resources, facilities and assistance reasonably needed to conduct the election (for example notices, a ballot box, time to vote). SteelRiver does not take part in nominating, campaigning or deciding the result.</w:t>
      </w:r>
    </w:p>
    <w:p>
      <w:pPr>
        <w:pStyle w:val="ListParagraph"/>
        <w:numPr>
          <w:ilvl w:val="0"/>
          <w:numId w:val="3"/>
        </w:numPr>
        <w:spacing w:after="60" w:line="264"/>
      </w:pPr>
      <w:r>
        <w:rPr>
          <w:rFonts w:ascii="Aptos" w:cs="Aptos" w:eastAsia="Aptos" w:hAnsi="Aptos"/>
          <w:color w:val="1E2833"/>
          <w:sz w:val="20"/>
          <w:szCs w:val="20"/>
        </w:rPr>
        <w:t xml:space="preserve">Any member of the work group may nominate. If there are no more candidates than vacancies, the candidates are declared elected unopposed. Otherwise the members of the work group vote.</w:t>
      </w:r>
    </w:p>
    <w:p>
      <w:pPr>
        <w:pStyle w:val="ListParagraph"/>
        <w:numPr>
          <w:ilvl w:val="0"/>
          <w:numId w:val="3"/>
        </w:numPr>
        <w:spacing w:after="60" w:line="264"/>
      </w:pPr>
      <w:r>
        <w:rPr>
          <w:rFonts w:ascii="Aptos" w:cs="Aptos" w:eastAsia="Aptos" w:hAnsi="Aptos"/>
          <w:color w:val="1E2833"/>
          <w:sz w:val="20"/>
          <w:szCs w:val="20"/>
        </w:rPr>
        <w:t xml:space="preserve">A deputy HSR may be elected in the same way and acts when the HSR is absent.</w:t>
      </w:r>
    </w:p>
    <w:p>
      <w:pPr>
        <w:pStyle w:val="ListParagraph"/>
        <w:numPr>
          <w:ilvl w:val="0"/>
          <w:numId w:val="3"/>
        </w:numPr>
        <w:spacing w:after="60" w:line="264"/>
      </w:pPr>
      <w:r>
        <w:rPr>
          <w:rFonts w:ascii="Aptos" w:cs="Aptos" w:eastAsia="Aptos" w:hAnsi="Aptos"/>
          <w:color w:val="1E2833"/>
          <w:sz w:val="20"/>
          <w:szCs w:val="20"/>
        </w:rPr>
        <w:t xml:space="preserve">The HSR's term is three years. An HSR may be re-elected.</w:t>
      </w:r>
    </w:p>
    <w:p>
      <w:pPr>
        <w:pStyle w:val="ListParagraph"/>
        <w:numPr>
          <w:ilvl w:val="0"/>
          <w:numId w:val="3"/>
        </w:numPr>
        <w:spacing w:after="60" w:line="264"/>
      </w:pPr>
      <w:r>
        <w:rPr>
          <w:rFonts w:ascii="Aptos" w:cs="Aptos" w:eastAsia="Aptos" w:hAnsi="Aptos"/>
          <w:color w:val="1E2833"/>
          <w:sz w:val="20"/>
          <w:szCs w:val="20"/>
        </w:rPr>
        <w:t xml:space="preserve">The result is notified to the WHS Coordinator, who updates SRL-CR-090 HSR and Work Group Register and the noticeboards.</w:t>
      </w:r>
    </w:p>
    <w:p>
      <w:pPr>
        <w:keepNext/>
        <w:spacing w:before="200" w:after="80"/>
      </w:pPr>
      <w:r>
        <w:rPr>
          <w:rFonts w:ascii="Aptos Display" w:cs="Aptos Display" w:eastAsia="Aptos Display" w:hAnsi="Aptos Display"/>
          <w:b/>
          <w:bCs/>
          <w:color w:val="5E7C99"/>
          <w:sz w:val="24"/>
          <w:szCs w:val="24"/>
        </w:rPr>
        <w:t xml:space="preserve">6.3 HSR training</w:t>
      </w:r>
    </w:p>
    <w:p>
      <w:pPr>
        <w:spacing w:before="0" w:after="120" w:line="276"/>
      </w:pPr>
      <w:r>
        <w:rPr>
          <w:rFonts w:ascii="Aptos" w:cs="Aptos" w:eastAsia="Aptos" w:hAnsi="Aptos"/>
          <w:color w:val="1E2833"/>
          <w:sz w:val="20"/>
          <w:szCs w:val="20"/>
        </w:rPr>
        <w:t xml:space="preserve">When an HSR or deputy HSR asks, SteelRiver allows them to attend an initial course of training approved by WorkSafe WA (five days) and a one-day refresher course each year. SteelRiver pays the course fees and the HSR's wages, and consults the HSR on the choice of course. Training is recorded on SRL-CR-090.</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7. Consultation on change</w:t>
      </w:r>
    </w:p>
    <w:p>
      <w:pPr>
        <w:spacing w:before="0" w:after="120" w:line="276"/>
      </w:pPr>
      <w:r>
        <w:rPr>
          <w:rFonts w:ascii="Aptos" w:cs="Aptos" w:eastAsia="Aptos" w:hAnsi="Aptos"/>
          <w:color w:val="1E2833"/>
          <w:sz w:val="20"/>
          <w:szCs w:val="20"/>
        </w:rPr>
        <w:t xml:space="preserve">Before a decision is made on any of the matters in s.49, the manager proposing it must:</w:t>
      </w:r>
    </w:p>
    <w:p>
      <w:pPr>
        <w:pStyle w:val="ListParagraph"/>
        <w:numPr>
          <w:ilvl w:val="0"/>
          <w:numId w:val="3"/>
        </w:numPr>
        <w:spacing w:after="60" w:line="264"/>
      </w:pPr>
      <w:r>
        <w:rPr>
          <w:rFonts w:ascii="Aptos" w:cs="Aptos" w:eastAsia="Aptos" w:hAnsi="Aptos"/>
          <w:color w:val="1E2833"/>
          <w:sz w:val="20"/>
          <w:szCs w:val="20"/>
        </w:rPr>
        <w:t xml:space="preserve">identify the workers and work groups likely to be affected, and their HSRs</w:t>
      </w:r>
    </w:p>
    <w:p>
      <w:pPr>
        <w:pStyle w:val="ListParagraph"/>
        <w:numPr>
          <w:ilvl w:val="0"/>
          <w:numId w:val="3"/>
        </w:numPr>
        <w:spacing w:after="60" w:line="264"/>
      </w:pPr>
      <w:r>
        <w:rPr>
          <w:rFonts w:ascii="Aptos" w:cs="Aptos" w:eastAsia="Aptos" w:hAnsi="Aptos"/>
          <w:color w:val="1E2833"/>
          <w:sz w:val="20"/>
          <w:szCs w:val="20"/>
        </w:rPr>
        <w:t xml:space="preserve">share the relevant information (what is proposed, why, the hazards and risks, the options) early enough for views to make a difference</w:t>
      </w:r>
    </w:p>
    <w:p>
      <w:pPr>
        <w:pStyle w:val="ListParagraph"/>
        <w:numPr>
          <w:ilvl w:val="0"/>
          <w:numId w:val="3"/>
        </w:numPr>
        <w:spacing w:after="60" w:line="264"/>
      </w:pPr>
      <w:r>
        <w:rPr>
          <w:rFonts w:ascii="Aptos" w:cs="Aptos" w:eastAsia="Aptos" w:hAnsi="Aptos"/>
          <w:color w:val="1E2833"/>
          <w:sz w:val="20"/>
          <w:szCs w:val="20"/>
        </w:rPr>
        <w:t xml:space="preserve">give workers and HSRs a reasonable opportunity to express their views and contribute</w:t>
      </w:r>
    </w:p>
    <w:p>
      <w:pPr>
        <w:pStyle w:val="ListParagraph"/>
        <w:numPr>
          <w:ilvl w:val="0"/>
          <w:numId w:val="3"/>
        </w:numPr>
        <w:spacing w:after="60" w:line="264"/>
      </w:pPr>
      <w:r>
        <w:rPr>
          <w:rFonts w:ascii="Aptos" w:cs="Aptos" w:eastAsia="Aptos" w:hAnsi="Aptos"/>
          <w:color w:val="1E2833"/>
          <w:sz w:val="20"/>
          <w:szCs w:val="20"/>
        </w:rPr>
        <w:t xml:space="preserve">take those views into account in making the decision</w:t>
      </w:r>
    </w:p>
    <w:p>
      <w:pPr>
        <w:pStyle w:val="ListParagraph"/>
        <w:numPr>
          <w:ilvl w:val="0"/>
          <w:numId w:val="3"/>
        </w:numPr>
        <w:spacing w:after="60" w:line="264"/>
      </w:pPr>
      <w:r>
        <w:rPr>
          <w:rFonts w:ascii="Aptos" w:cs="Aptos" w:eastAsia="Aptos" w:hAnsi="Aptos"/>
          <w:color w:val="1E2833"/>
          <w:sz w:val="20"/>
          <w:szCs w:val="20"/>
        </w:rPr>
        <w:t xml:space="preserve">tell the workers and HSRs the outcome and the reasons, in a timely way</w:t>
      </w:r>
    </w:p>
    <w:p>
      <w:pPr>
        <w:pStyle w:val="ListParagraph"/>
        <w:numPr>
          <w:ilvl w:val="0"/>
          <w:numId w:val="3"/>
        </w:numPr>
        <w:spacing w:after="60" w:line="264"/>
      </w:pPr>
      <w:r>
        <w:rPr>
          <w:rFonts w:ascii="Aptos" w:cs="Aptos" w:eastAsia="Aptos" w:hAnsi="Aptos"/>
          <w:color w:val="1E2833"/>
          <w:sz w:val="20"/>
          <w:szCs w:val="20"/>
        </w:rPr>
        <w:t xml:space="preserve">record the consultation (Section 8).</w:t>
      </w:r>
    </w:p>
    <w:p>
      <w:pPr>
        <w:spacing w:before="0" w:after="120" w:line="276"/>
      </w:pPr>
      <w:r>
        <w:rPr>
          <w:rFonts w:ascii="Aptos" w:cs="Aptos" w:eastAsia="Aptos" w:hAnsi="Aptos"/>
          <w:color w:val="1E2833"/>
          <w:sz w:val="20"/>
          <w:szCs w:val="20"/>
        </w:rPr>
        <w:t xml:space="preserve">Significant changes are also tabled at the Perth DC WHS Committee.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8. Consultation records</w:t>
      </w:r>
    </w:p>
    <w:p>
      <w:pPr>
        <w:spacing w:before="0" w:after="120" w:line="276"/>
      </w:pPr>
      <w:r>
        <w:rPr>
          <w:rFonts w:ascii="Aptos" w:cs="Aptos" w:eastAsia="Aptos" w:hAnsi="Aptos"/>
          <w:color w:val="1E2833"/>
          <w:sz w:val="20"/>
          <w:szCs w:val="20"/>
        </w:rPr>
        <w:t xml:space="preserve">Every consultation on a WHS matter or change is recorded in MyOSH. The record must show:</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blHeader/>
        </w:trPr>
        <w:tc>
          <w:tcPr>
            <w:tcW w:type="dxa" w:w="3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Field</w:t>
            </w:r>
          </w:p>
        </w:tc>
        <w:tc>
          <w:tcPr>
            <w:tcW w:type="dxa" w:w="67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to record</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Who</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workers, HSRs and others consulted, by name or work group</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When</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date or dates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Method</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How they were consulted (for example meeting, toolbox talk, workshop, survey, email)</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Information shared</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What information was given to them, and when</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Views</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views and concerns expressed</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How views were taken into account</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For each view: adopted, adapted or not adopted, with the reason</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Outcome communicated</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How and when the outcome was reported back to the people consulted</w:t>
            </w:r>
          </w:p>
        </w:tc>
      </w:tr>
    </w:tbl>
    <w:p>
      <w:pPr>
        <w:spacing w:before="120" w:after="120" w:line="276"/>
      </w:pPr>
      <w:r>
        <w:rPr>
          <w:rFonts w:ascii="Aptos" w:cs="Aptos" w:eastAsia="Aptos" w:hAnsi="Aptos"/>
          <w:color w:val="1E2833"/>
          <w:sz w:val="20"/>
          <w:szCs w:val="20"/>
        </w:rPr>
        <w:t xml:space="preserve">Consultation records and toolbox talk records are kept for 5 years. Committee minutes are kept for 7 years (SRL-CR-016, SRL-CR-019).</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9. Related documents</w:t>
      </w:r>
    </w:p>
    <w:p>
      <w:pPr>
        <w:pStyle w:val="ListParagraph"/>
        <w:numPr>
          <w:ilvl w:val="0"/>
          <w:numId w:val="2"/>
        </w:numPr>
        <w:spacing w:after="60" w:line="264"/>
      </w:pPr>
      <w:r>
        <w:rPr>
          <w:rFonts w:ascii="Aptos" w:cs="Aptos" w:eastAsia="Aptos" w:hAnsi="Aptos"/>
          <w:color w:val="1E2833"/>
          <w:sz w:val="20"/>
          <w:szCs w:val="20"/>
        </w:rPr>
        <w:t xml:space="preserve">SRL-CR-016 Perth DC WHS Committee Constitution</w:t>
      </w:r>
    </w:p>
    <w:p>
      <w:pPr>
        <w:pStyle w:val="ListParagraph"/>
        <w:numPr>
          <w:ilvl w:val="0"/>
          <w:numId w:val="2"/>
        </w:numPr>
        <w:spacing w:after="60" w:line="264"/>
      </w:pPr>
      <w:r>
        <w:rPr>
          <w:rFonts w:ascii="Aptos" w:cs="Aptos" w:eastAsia="Aptos" w:hAnsi="Aptos"/>
          <w:color w:val="1E2833"/>
          <w:sz w:val="20"/>
          <w:szCs w:val="20"/>
        </w:rPr>
        <w:t xml:space="preserve">SRL-CR-019 Document Control and Records Management Policy</w:t>
      </w:r>
    </w:p>
    <w:p>
      <w:pPr>
        <w:pStyle w:val="ListParagraph"/>
        <w:numPr>
          <w:ilvl w:val="0"/>
          <w:numId w:val="2"/>
        </w:numPr>
        <w:spacing w:after="60" w:line="264"/>
      </w:pPr>
      <w:r>
        <w:rPr>
          <w:rFonts w:ascii="Aptos" w:cs="Aptos" w:eastAsia="Aptos" w:hAnsi="Aptos"/>
          <w:color w:val="1E2833"/>
          <w:sz w:val="20"/>
          <w:szCs w:val="20"/>
        </w:rPr>
        <w:t xml:space="preserve">SRL-CR-032 WHS Issue Resolution Procedure and SRL-CR-068 WHS Issue Resolution Form</w:t>
      </w:r>
    </w:p>
    <w:p>
      <w:pPr>
        <w:pStyle w:val="ListParagraph"/>
        <w:numPr>
          <w:ilvl w:val="0"/>
          <w:numId w:val="2"/>
        </w:numPr>
        <w:spacing w:after="60" w:line="264"/>
      </w:pPr>
      <w:r>
        <w:rPr>
          <w:rFonts w:ascii="Aptos" w:cs="Aptos" w:eastAsia="Aptos" w:hAnsi="Aptos"/>
          <w:color w:val="1E2833"/>
          <w:sz w:val="20"/>
          <w:szCs w:val="20"/>
        </w:rPr>
        <w:t xml:space="preserve">SRL-CR-033 Consultation, Cooperation and Coordination with Other PCBUs Procedure</w:t>
      </w:r>
    </w:p>
    <w:p>
      <w:pPr>
        <w:pStyle w:val="ListParagraph"/>
        <w:numPr>
          <w:ilvl w:val="0"/>
          <w:numId w:val="2"/>
        </w:numPr>
        <w:spacing w:after="60" w:line="264"/>
      </w:pPr>
      <w:r>
        <w:rPr>
          <w:rFonts w:ascii="Aptos" w:cs="Aptos" w:eastAsia="Aptos" w:hAnsi="Aptos"/>
          <w:color w:val="1E2833"/>
          <w:sz w:val="20"/>
          <w:szCs w:val="20"/>
        </w:rPr>
        <w:t xml:space="preserve">SRL-CR-072 WHS Survey and Questionnaire Template</w:t>
      </w:r>
    </w:p>
    <w:p>
      <w:pPr>
        <w:pStyle w:val="ListParagraph"/>
        <w:numPr>
          <w:ilvl w:val="0"/>
          <w:numId w:val="2"/>
        </w:numPr>
        <w:spacing w:after="60" w:line="264"/>
      </w:pPr>
      <w:r>
        <w:rPr>
          <w:rFonts w:ascii="Aptos" w:cs="Aptos" w:eastAsia="Aptos" w:hAnsi="Aptos"/>
          <w:color w:val="1E2833"/>
          <w:sz w:val="20"/>
          <w:szCs w:val="20"/>
        </w:rPr>
        <w:t xml:space="preserve">SRL-CR-074 Toolbox Talk Record and Attendance Sheet</w:t>
      </w:r>
    </w:p>
    <w:p>
      <w:pPr>
        <w:pStyle w:val="ListParagraph"/>
        <w:numPr>
          <w:ilvl w:val="0"/>
          <w:numId w:val="2"/>
        </w:numPr>
        <w:spacing w:after="60" w:line="264"/>
      </w:pPr>
      <w:r>
        <w:rPr>
          <w:rFonts w:ascii="Aptos" w:cs="Aptos" w:eastAsia="Aptos" w:hAnsi="Aptos"/>
          <w:color w:val="1E2833"/>
          <w:sz w:val="20"/>
          <w:szCs w:val="20"/>
        </w:rPr>
        <w:t xml:space="preserve">SRL-CR-090 HSR and Work Group Register</w:t>
      </w:r>
    </w:p>
    <w:p>
      <w:pPr>
        <w:pStyle w:val="ListParagraph"/>
        <w:numPr>
          <w:ilvl w:val="0"/>
          <w:numId w:val="2"/>
        </w:numPr>
        <w:spacing w:after="60" w:line="264"/>
      </w:pPr>
      <w:r>
        <w:rPr>
          <w:rFonts w:ascii="Aptos" w:cs="Aptos" w:eastAsia="Aptos" w:hAnsi="Aptos"/>
          <w:color w:val="1E2833"/>
          <w:sz w:val="20"/>
          <w:szCs w:val="20"/>
        </w:rPr>
        <w:t xml:space="preserve">WorkSafe WA Code of Practice: Work health and safety consultation, cooperation and coordination</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Appendix A. Perth DC work groups</w:t>
      </w:r>
    </w:p>
    <w:p>
      <w:pPr>
        <w:spacing w:before="0" w:after="120" w:line="276"/>
      </w:pPr>
      <w:r>
        <w:rPr>
          <w:rFonts w:ascii="Aptos" w:cs="Aptos" w:eastAsia="Aptos" w:hAnsi="Aptos"/>
          <w:color w:val="1E2833"/>
          <w:sz w:val="20"/>
          <w:szCs w:val="20"/>
        </w:rPr>
        <w:t xml:space="preserve">Determined by negotiation with the workers in 2021. The current HSRs, deputies and terms are in SRL-CR-090.</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5352"/>
        <w:gridCol w:w="1600"/>
      </w:tblGrid>
      <w:tr>
        <w:trPr>
          <w:cantSplit/>
          <w:tblHeader/>
        </w:trPr>
        <w:tc>
          <w:tcPr>
            <w:tcW w:type="dxa" w:w="2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Work group</w:t>
            </w:r>
          </w:p>
        </w:tc>
        <w:tc>
          <w:tcPr>
            <w:tcW w:type="dxa" w:w="53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Workers and areas covered</w:t>
            </w:r>
          </w:p>
        </w:tc>
        <w:tc>
          <w:tcPr>
            <w:tcW w:type="dxa" w:w="1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Shifts</w:t>
            </w:r>
          </w:p>
        </w:tc>
      </w:tr>
      <w:tr>
        <w:trPr>
          <w:cantSplit/>
        </w:trPr>
        <w:tc>
          <w:tcPr>
            <w:tcW w:type="dxa" w:w="2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WG1 Inbound and putaway</w:t>
            </w:r>
          </w:p>
        </w:tc>
        <w:tc>
          <w:tcPr>
            <w:tcW w:type="dxa" w:w="5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Receiving and container unloading, inbound staging, inbound docks 1 to 4, putaway and reach truck operations in racking rows 1 to 10</w:t>
            </w:r>
          </w:p>
        </w:tc>
        <w:tc>
          <w:tcPr>
            <w:tcW w:type="dxa" w:w="1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shifts</w:t>
            </w:r>
          </w:p>
        </w:tc>
      </w:tr>
      <w:tr>
        <w:trPr>
          <w:cantSplit/>
        </w:trPr>
        <w:tc>
          <w:tcPr>
            <w:tcW w:type="dxa" w:w="2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WG2 Picking and packing</w:t>
            </w:r>
          </w:p>
        </w:tc>
        <w:tc>
          <w:tcPr>
            <w:tcW w:type="dxa" w:w="5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Pickers and packers in Zones A to C (including the CityWide Health bay), conveyor and pack stations, refrigerated zone picking</w:t>
            </w:r>
          </w:p>
        </w:tc>
        <w:tc>
          <w:tcPr>
            <w:tcW w:type="dxa" w:w="1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shifts</w:t>
            </w:r>
          </w:p>
        </w:tc>
      </w:tr>
      <w:tr>
        <w:trPr>
          <w:cantSplit/>
        </w:trPr>
        <w:tc>
          <w:tcPr>
            <w:tcW w:type="dxa" w:w="2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WG3 Dispatch and loading</w:t>
            </w:r>
          </w:p>
        </w:tc>
        <w:tc>
          <w:tcPr>
            <w:tcW w:type="dxa" w:w="5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Outbound docks 5 to 12, dispatch lanes, loading and shrink-wrap</w:t>
            </w:r>
          </w:p>
        </w:tc>
        <w:tc>
          <w:tcPr>
            <w:tcW w:type="dxa" w:w="1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shifts</w:t>
            </w:r>
          </w:p>
        </w:tc>
      </w:tr>
      <w:tr>
        <w:trPr>
          <w:cantSplit/>
        </w:trPr>
        <w:tc>
          <w:tcPr>
            <w:tcW w:type="dxa" w:w="2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WG4 Drivers and yard</w:t>
            </w:r>
          </w:p>
        </w:tc>
        <w:tc>
          <w:tcPr>
            <w:tcW w:type="dxa" w:w="5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SteelRiver heavy vehicle drivers, yard operations, gatehouse, battery charging bay and the bulk diesel and gas cage areas</w:t>
            </w:r>
          </w:p>
        </w:tc>
        <w:tc>
          <w:tcPr>
            <w:tcW w:type="dxa" w:w="1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shifts</w:t>
            </w:r>
          </w:p>
        </w:tc>
      </w:tr>
      <w:tr>
        <w:trPr>
          <w:cantSplit/>
        </w:trPr>
        <w:tc>
          <w:tcPr>
            <w:tcW w:type="dxa" w:w="2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WG5 Inventory, returns and site administration</w:t>
            </w:r>
          </w:p>
        </w:tc>
        <w:tc>
          <w:tcPr>
            <w:tcW w:type="dxa" w:w="5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Inventory control and cycle counts, returns processing, the cleaning and maintenance stores, and site administration staff</w:t>
            </w:r>
          </w:p>
        </w:tc>
        <w:tc>
          <w:tcPr>
            <w:tcW w:type="dxa" w:w="1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shifts</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3.0</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August 2022</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Rewritten for the Work Health and Safety Act 2020 (WA) and Regulations 2022 (WA), which commenced on 31 March 2022. Legal framework and consultation record added; work groups from the 2021 negotiation in Appendix A.</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National WHS Manager</w:t>
            </w:r>
          </w:p>
        </w:tc>
      </w:tr>
      <w:tr>
        <w:trPr>
          <w:cantSplit/>
        </w:trPr>
        <w:tc>
          <w:tcPr>
            <w:tcW w:type="dxa" w:w="1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2.1</w:t>
            </w:r>
          </w:p>
        </w:tc>
        <w:tc>
          <w:tcPr>
            <w:tcW w:type="dxa" w:w="1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July 2021</w:t>
            </w:r>
          </w:p>
        </w:tc>
        <w:tc>
          <w:tcPr>
            <w:tcW w:type="dxa" w:w="4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groups renegotiated (five work groups).</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National WHS Manager</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March 2019</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Paired site walks and the WHS suggestions inbox introduced.</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National WHS Manager</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SRL-CR-031 Version 3.0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SRL-CR-031 Version 3.0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13056" w:sz="6" w:space="6"/>
      </w:pBdr>
      <w:tabs>
        <w:tab w:val="right" w:pos="9752"/>
      </w:tabs>
    </w:pPr>
    <w:r>
      <w:drawing>
        <wp:inline distT="0" distB="0" distL="0" distR="0">
          <wp:extent cx="161925"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1925" cy="190500"/>
                  </a:xfrm>
                  <a:prstGeom prst="rect">
                    <a:avLst/>
                  </a:prstGeom>
                </pic:spPr>
              </pic:pic>
            </a:graphicData>
          </a:graphic>
        </wp:inline>
      </w:drawing>
    </w:r>
    <w:r>
      <w:rPr>
        <w:rFonts w:ascii="Aptos" w:cs="Aptos" w:eastAsia="Aptos" w:hAnsi="Aptos"/>
        <w:b/>
        <w:bCs/>
        <w:color w:val="013056"/>
        <w:sz w:val="17"/>
        <w:szCs w:val="17"/>
      </w:rPr>
      <w:t xml:space="preserve">  SteelRiver Logistics</w:t>
    </w:r>
    <w:r>
      <w:rPr>
        <w:rFonts w:ascii="Aptos" w:cs="Aptos" w:eastAsia="Aptos" w:hAnsi="Aptos"/>
        <w:color w:val="5F6B77"/>
        <w:sz w:val="16"/>
        <w:szCs w:val="16"/>
      </w:rPr>
      <w:t xml:space="preserve">	SRL-CR-031  ·  WHS Consultation and Participation Procedure (incl. HSR elections and work groups)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5E7C99"/>
        <w:sz w:val="14"/>
        <w:szCs w:val="14"/>
      </w:rPr>
    </w:lvl>
    <w:lvl w:ilvl="1" w15:tentative="1">
      <w:start w:val="1"/>
      <w:numFmt w:val="bullet"/>
      <w:lvlText w:val="–"/>
      <w:lvlJc w:val="left"/>
      <w:pPr>
        <w:ind w:left="720" w:hanging="260"/>
      </w:pPr>
      <w:rPr>
        <w:color w:val="5E7C99"/>
      </w:rPr>
    </w:lvl>
  </w:abstractNum>
  <w:abstractNum w:abstractNumId="3" w15:restartNumberingAfterBreak="0">
    <w:multiLevelType w:val="hybridMultilevel"/>
    <w:lvl w:ilvl="0" w15:tentative="1">
      <w:start w:val="1"/>
      <w:numFmt w:val="decimal"/>
      <w:lvlText w:val="%1."/>
      <w:lvlJc w:val="left"/>
      <w:pPr>
        <w:ind w:left="400" w:hanging="300"/>
      </w:pPr>
      <w:rPr>
        <w:b/>
        <w:bCs/>
        <w:color w:val="013056"/>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f0f522d953708057eaf47c9f07cc03c6d7f53fc0.png"/><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8cfb3180d16a8eee545abda86cd4375cdc466e6.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SRL-CR-031 WHS Consultation and Participation Procedure (incl. HSR elections and work groups)</dc:title>
  <dc:creator>SteelRiver Logistics Pty Ltd</dc:creator>
  <cp:lastModifiedBy>Un-named</cp:lastModifiedBy>
  <cp:revision>1</cp:revision>
  <dcterms:created xsi:type="dcterms:W3CDTF">2026-10-28T08:26:10.905Z</dcterms:created>
  <dcterms:modified xsi:type="dcterms:W3CDTF">2026-10-28T08:26:10.905Z</dcterms:modified>
</cp:coreProperties>
</file>

<file path=docProps/custom.xml><?xml version="1.0" encoding="utf-8"?>
<Properties xmlns="http://schemas.openxmlformats.org/officeDocument/2006/custom-properties" xmlns:vt="http://schemas.openxmlformats.org/officeDocument/2006/docPropsVTypes"/>
</file>