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PROCEDURE</w:t>
            </w:r>
          </w:p>
          <w:p>
            <w:pPr>
              <w:spacing w:after="0"/>
              <w:jc w:val="right"/>
            </w:pPr>
            <w:r>
              <w:rPr>
                <w:rFonts w:ascii="Aptos Display" w:cs="Aptos Display" w:eastAsia="Aptos Display" w:hAnsi="Aptos Display"/>
                <w:b/>
                <w:bCs/>
                <w:color w:val="013056"/>
                <w:sz w:val="36"/>
                <w:szCs w:val="36"/>
              </w:rPr>
              <w:t xml:space="preserve">SRL-CR-035</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Incident Reporting and Investigation Procedure</w:t>
      </w:r>
    </w:p>
    <w:p>
      <w:pPr>
        <w:spacing w:before="0" w:after="160" w:line="276"/>
      </w:pPr>
      <w:r>
        <w:rPr>
          <w:rFonts w:ascii="Aptos" w:cs="Aptos" w:eastAsia="Aptos" w:hAnsi="Aptos"/>
          <w:color w:val="5E7C99"/>
          <w:sz w:val="24"/>
          <w:szCs w:val="24"/>
        </w:rPr>
        <w:t xml:space="preserve">Responding to, reporting, notifying and investigating WHS incidents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SRL-CR-035</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17 November 2025</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November 2026</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sites, vehicles and workers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 and principles</w:t>
      </w:r>
    </w:p>
    <w:p>
      <w:pPr>
        <w:spacing w:before="0" w:after="120" w:line="276"/>
      </w:pPr>
      <w:r>
        <w:rPr>
          <w:rFonts w:ascii="Aptos" w:cs="Aptos" w:eastAsia="Aptos" w:hAnsi="Aptos"/>
          <w:color w:val="1E2833"/>
          <w:sz w:val="20"/>
          <w:szCs w:val="20"/>
        </w:rPr>
        <w:t xml:space="preserve">This procedure sets out how SteelRiver Logistics Pty Ltd (SteelRiver) reports, notifies, records and investigates incidents, near misses and hazards at all its sites, so that people get help quickly, legal obligations are met and the causes are fixed. It replaces the separate site incident procedures.</w:t>
      </w:r>
    </w:p>
    <w:p>
      <w:pPr>
        <w:pStyle w:val="ListParagraph"/>
        <w:numPr>
          <w:ilvl w:val="0"/>
          <w:numId w:val="2"/>
        </w:numPr>
        <w:spacing w:after="60" w:line="264"/>
      </w:pPr>
      <w:r>
        <w:rPr>
          <w:rFonts w:ascii="Aptos" w:cs="Aptos" w:eastAsia="Aptos" w:hAnsi="Aptos"/>
          <w:color w:val="1E2833"/>
          <w:sz w:val="20"/>
          <w:szCs w:val="20"/>
        </w:rPr>
        <w:t xml:space="preserve">All incidents, including near misses, must be reported and investigated. The depth of investigation matches the actual and the potential outcome.</w:t>
      </w:r>
    </w:p>
    <w:p>
      <w:pPr>
        <w:pStyle w:val="ListParagraph"/>
        <w:numPr>
          <w:ilvl w:val="0"/>
          <w:numId w:val="2"/>
        </w:numPr>
        <w:spacing w:after="60" w:line="264"/>
      </w:pPr>
      <w:r>
        <w:rPr>
          <w:rFonts w:ascii="Aptos" w:cs="Aptos" w:eastAsia="Aptos" w:hAnsi="Aptos"/>
          <w:color w:val="1E2833"/>
          <w:sz w:val="20"/>
          <w:szCs w:val="20"/>
        </w:rPr>
        <w:t xml:space="preserve">A WHS investigation is for prevention. Its purpose is to find out what happened and why, and what must change in the way work is designed, organised and managed. It does not apportion blame and does not make findings about legal liability.</w:t>
      </w:r>
    </w:p>
    <w:p>
      <w:pPr>
        <w:pStyle w:val="ListParagraph"/>
        <w:numPr>
          <w:ilvl w:val="0"/>
          <w:numId w:val="2"/>
        </w:numPr>
        <w:spacing w:after="60" w:line="264"/>
      </w:pPr>
      <w:r>
        <w:rPr>
          <w:rFonts w:ascii="Aptos" w:cs="Aptos" w:eastAsia="Aptos" w:hAnsi="Aptos"/>
          <w:color w:val="1E2833"/>
          <w:sz w:val="20"/>
          <w:szCs w:val="20"/>
        </w:rPr>
        <w:t xml:space="preserve">Any legal review of an incident is a separate process run by SteelRiver's solicitors. The WHS investigation does not give legal advice or opinions.</w:t>
      </w:r>
    </w:p>
    <w:p>
      <w:pPr>
        <w:pStyle w:val="ListParagraph"/>
        <w:numPr>
          <w:ilvl w:val="0"/>
          <w:numId w:val="2"/>
        </w:numPr>
        <w:spacing w:after="60" w:line="264"/>
      </w:pPr>
      <w:r>
        <w:rPr>
          <w:rFonts w:ascii="Aptos" w:cs="Aptos" w:eastAsia="Aptos" w:hAnsi="Aptos"/>
          <w:color w:val="1E2833"/>
          <w:sz w:val="20"/>
          <w:szCs w:val="20"/>
        </w:rPr>
        <w:t xml:space="preserve">People involved are treated with respect and offered support. Reporting an incident never leads to blame or reprisal.</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This procedure applies to all SteelRiver workers, including employees, casuals, labour hire workers, contractors and their workers, and to visitors and other persons at SteelRiver sites, in SteelRiver vehicles and at customer delivery sites. It covers injuries, illnesses (including psychological injury), near misses, dangerous incidents, property and environmental damage, and breaches of WHS procedures.</w:t>
      </w:r>
    </w:p>
    <w:p>
      <w:pPr>
        <w:spacing w:before="0" w:after="120" w:line="276"/>
      </w:pPr>
      <w:r>
        <w:rPr>
          <w:rFonts w:ascii="Aptos" w:cs="Aptos" w:eastAsia="Aptos" w:hAnsi="Aptos"/>
          <w:color w:val="1E2833"/>
          <w:sz w:val="20"/>
          <w:szCs w:val="20"/>
        </w:rPr>
        <w:t xml:space="preserve">At the Perth DC and head office the Work Health and Safety Act 2020 (WA) and the Work Health and Safety (General) Regulations 2022 (WA) apply and the regulator is WorkSafe WA. The Brisbane DC notifies Workplace Health and Safety Queensland and the Newcastle DC notifies SafeWork NSW under their state WHS Acts.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Incident types and notifiable incidents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Type</w:t>
            </w:r>
          </w:p>
        </w:tc>
        <w:tc>
          <w:tcPr>
            <w:tcW w:type="dxa" w:w="7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Meaning at SteelRiver</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Hazard</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condition that could cause harm. Report it in MyOSH (SRL-CR-030).</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Near miss</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unplanned event with no injury or damage but the potential to cause harm. Rated with the SRL 5x5 matrix (SRL-CR-061) on the most likely worst outcome.</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First aid injury</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minor injury treated on site by a first aider, with no further treatment.</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Medical treatment injury (MTI)</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injury treated by a doctor or other health professional beyond first aid, with no full shift lost.</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Lost time injury (LTI)</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injury or illness that leaves the worker unable to work a full shift after the day it happened.</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Property or environmental damage</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Damage to plant, stock, racking, buildings or vehicles, or a release to the environment, with no injury.</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Notifiable incident</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death of a person, a serious injury or illness of a person, or a dangerous incident, arising out of the conduct of SteelRiver's business. Notified to the regulator immediately (section 5).</w:t>
            </w:r>
          </w:p>
        </w:tc>
      </w:tr>
    </w:tbl>
    <w:p>
      <w:pPr>
        <w:keepNext/>
        <w:spacing w:before="200" w:after="80"/>
      </w:pPr>
      <w:r>
        <w:rPr>
          <w:rFonts w:ascii="Aptos Display" w:cs="Aptos Display" w:eastAsia="Aptos Display" w:hAnsi="Aptos Display"/>
          <w:b/>
          <w:bCs/>
          <w:color w:val="5E7C99"/>
          <w:sz w:val="24"/>
          <w:szCs w:val="24"/>
        </w:rPr>
        <w:t xml:space="preserve">Serious injury or illness</w:t>
      </w:r>
    </w:p>
    <w:p>
      <w:pPr>
        <w:spacing w:before="0" w:after="120" w:line="276"/>
      </w:pPr>
      <w:r>
        <w:rPr>
          <w:rFonts w:ascii="Aptos" w:cs="Aptos" w:eastAsia="Aptos" w:hAnsi="Aptos"/>
          <w:color w:val="1E2833"/>
          <w:sz w:val="20"/>
          <w:szCs w:val="20"/>
        </w:rPr>
        <w:t xml:space="preserve">An injury or illness that requires the person to have:</w:t>
      </w:r>
    </w:p>
    <w:p>
      <w:pPr>
        <w:pStyle w:val="ListParagraph"/>
        <w:numPr>
          <w:ilvl w:val="0"/>
          <w:numId w:val="2"/>
        </w:numPr>
        <w:spacing w:after="60" w:line="264"/>
      </w:pPr>
      <w:r>
        <w:rPr>
          <w:rFonts w:ascii="Aptos" w:cs="Aptos" w:eastAsia="Aptos" w:hAnsi="Aptos"/>
          <w:color w:val="1E2833"/>
          <w:sz w:val="20"/>
          <w:szCs w:val="20"/>
        </w:rPr>
        <w:t xml:space="preserve">immediate treatment as an in-patient in a hospital</w:t>
      </w:r>
    </w:p>
    <w:p>
      <w:pPr>
        <w:pStyle w:val="ListParagraph"/>
        <w:numPr>
          <w:ilvl w:val="0"/>
          <w:numId w:val="2"/>
        </w:numPr>
        <w:spacing w:after="60" w:line="264"/>
      </w:pPr>
      <w:r>
        <w:rPr>
          <w:rFonts w:ascii="Aptos" w:cs="Aptos" w:eastAsia="Aptos" w:hAnsi="Aptos"/>
          <w:color w:val="1E2833"/>
          <w:sz w:val="20"/>
          <w:szCs w:val="20"/>
        </w:rPr>
        <w:t xml:space="preserve">immediate treatment for an amputation, a serious head injury, a serious eye injury, a serious burn, the separation of skin from underlying tissue (such as degloving or scalping), a spinal injury, the loss of a bodily function or serious lacerations</w:t>
      </w:r>
    </w:p>
    <w:p>
      <w:pPr>
        <w:pStyle w:val="ListParagraph"/>
        <w:numPr>
          <w:ilvl w:val="0"/>
          <w:numId w:val="2"/>
        </w:numPr>
        <w:spacing w:after="60" w:line="264"/>
      </w:pPr>
      <w:r>
        <w:rPr>
          <w:rFonts w:ascii="Aptos" w:cs="Aptos" w:eastAsia="Aptos" w:hAnsi="Aptos"/>
          <w:color w:val="1E2833"/>
          <w:sz w:val="20"/>
          <w:szCs w:val="20"/>
        </w:rPr>
        <w:t xml:space="preserve">medical treatment within 48 hours of exposure to a substance.</w:t>
      </w:r>
    </w:p>
    <w:p>
      <w:pPr>
        <w:keepNext/>
        <w:spacing w:before="200" w:after="80"/>
      </w:pPr>
      <w:r>
        <w:rPr>
          <w:rFonts w:ascii="Aptos Display" w:cs="Aptos Display" w:eastAsia="Aptos Display" w:hAnsi="Aptos Display"/>
          <w:b/>
          <w:bCs/>
          <w:color w:val="5E7C99"/>
          <w:sz w:val="24"/>
          <w:szCs w:val="24"/>
        </w:rPr>
        <w:t xml:space="preserve">Dangerous incident</w:t>
      </w:r>
    </w:p>
    <w:p>
      <w:pPr>
        <w:spacing w:before="0" w:after="120" w:line="276"/>
      </w:pPr>
      <w:r>
        <w:rPr>
          <w:rFonts w:ascii="Aptos" w:cs="Aptos" w:eastAsia="Aptos" w:hAnsi="Aptos"/>
          <w:color w:val="1E2833"/>
          <w:sz w:val="20"/>
          <w:szCs w:val="20"/>
        </w:rPr>
        <w:t xml:space="preserve">An incident that exposes any person to a serious risk from immediate or imminent exposure to, for example:</w:t>
      </w:r>
    </w:p>
    <w:p>
      <w:pPr>
        <w:pStyle w:val="ListParagraph"/>
        <w:numPr>
          <w:ilvl w:val="0"/>
          <w:numId w:val="2"/>
        </w:numPr>
        <w:spacing w:after="60" w:line="264"/>
      </w:pPr>
      <w:r>
        <w:rPr>
          <w:rFonts w:ascii="Aptos" w:cs="Aptos" w:eastAsia="Aptos" w:hAnsi="Aptos"/>
          <w:color w:val="1E2833"/>
          <w:sz w:val="20"/>
          <w:szCs w:val="20"/>
        </w:rPr>
        <w:t xml:space="preserve">an uncontrolled escape, spillage or leakage of a substance (such as battery electrolyte or diesel)</w:t>
      </w:r>
    </w:p>
    <w:p>
      <w:pPr>
        <w:pStyle w:val="ListParagraph"/>
        <w:numPr>
          <w:ilvl w:val="0"/>
          <w:numId w:val="2"/>
        </w:numPr>
        <w:spacing w:after="60" w:line="264"/>
      </w:pPr>
      <w:r>
        <w:rPr>
          <w:rFonts w:ascii="Aptos" w:cs="Aptos" w:eastAsia="Aptos" w:hAnsi="Aptos"/>
          <w:color w:val="1E2833"/>
          <w:sz w:val="20"/>
          <w:szCs w:val="20"/>
        </w:rPr>
        <w:t xml:space="preserve">an uncontrolled fire, explosion or implosion, or an uncontrolled escape of gas or steam</w:t>
      </w:r>
    </w:p>
    <w:p>
      <w:pPr>
        <w:pStyle w:val="ListParagraph"/>
        <w:numPr>
          <w:ilvl w:val="0"/>
          <w:numId w:val="2"/>
        </w:numPr>
        <w:spacing w:after="60" w:line="264"/>
      </w:pPr>
      <w:r>
        <w:rPr>
          <w:rFonts w:ascii="Aptos" w:cs="Aptos" w:eastAsia="Aptos" w:hAnsi="Aptos"/>
          <w:color w:val="1E2833"/>
          <w:sz w:val="20"/>
          <w:szCs w:val="20"/>
        </w:rPr>
        <w:t xml:space="preserve">an electric shock</w:t>
      </w:r>
    </w:p>
    <w:p>
      <w:pPr>
        <w:pStyle w:val="ListParagraph"/>
        <w:numPr>
          <w:ilvl w:val="0"/>
          <w:numId w:val="2"/>
        </w:numPr>
        <w:spacing w:after="60" w:line="264"/>
      </w:pPr>
      <w:r>
        <w:rPr>
          <w:rFonts w:ascii="Aptos" w:cs="Aptos" w:eastAsia="Aptos" w:hAnsi="Aptos"/>
          <w:color w:val="1E2833"/>
          <w:sz w:val="20"/>
          <w:szCs w:val="20"/>
        </w:rPr>
        <w:t xml:space="preserve">the fall or release from a height of any plant, substance or thing</w:t>
      </w:r>
    </w:p>
    <w:p>
      <w:pPr>
        <w:pStyle w:val="ListParagraph"/>
        <w:numPr>
          <w:ilvl w:val="0"/>
          <w:numId w:val="2"/>
        </w:numPr>
        <w:spacing w:after="60" w:line="264"/>
      </w:pPr>
      <w:r>
        <w:rPr>
          <w:rFonts w:ascii="Aptos" w:cs="Aptos" w:eastAsia="Aptos" w:hAnsi="Aptos"/>
          <w:color w:val="1E2833"/>
          <w:sz w:val="20"/>
          <w:szCs w:val="20"/>
        </w:rPr>
        <w:t xml:space="preserve">the collapse, overturning, failure or malfunction of, or damage to, plant that must be authorised under the Regulations</w:t>
      </w:r>
    </w:p>
    <w:p>
      <w:pPr>
        <w:pStyle w:val="ListParagraph"/>
        <w:numPr>
          <w:ilvl w:val="0"/>
          <w:numId w:val="2"/>
        </w:numPr>
        <w:spacing w:after="60" w:line="264"/>
      </w:pPr>
      <w:r>
        <w:rPr>
          <w:rFonts w:ascii="Aptos" w:cs="Aptos" w:eastAsia="Aptos" w:hAnsi="Aptos"/>
          <w:color w:val="1E2833"/>
          <w:sz w:val="20"/>
          <w:szCs w:val="20"/>
        </w:rPr>
        <w:t xml:space="preserve">the collapse or partial collapse of a structure, including racking.</w:t>
      </w:r>
    </w:p>
    <w:p>
      <w:pPr>
        <w:spacing w:before="0" w:after="120" w:line="276"/>
      </w:pPr>
      <w:r>
        <w:rPr>
          <w:rFonts w:ascii="Aptos" w:cs="Aptos" w:eastAsia="Aptos" w:hAnsi="Aptos"/>
          <w:color w:val="1E2833"/>
          <w:sz w:val="20"/>
          <w:szCs w:val="20"/>
        </w:rPr>
        <w:t xml:space="preserve">If you are not sure whether an incident is notifiable, treat it as notifiable and phone the National WHS Manager.</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Reporting</w:t>
      </w:r>
    </w:p>
    <w:p>
      <w:pPr>
        <w:spacing w:before="0" w:after="120" w:line="276"/>
      </w:pPr>
      <w:r>
        <w:rPr>
          <w:rFonts w:ascii="Aptos" w:cs="Aptos" w:eastAsia="Aptos" w:hAnsi="Aptos"/>
          <w:color w:val="1E2833"/>
          <w:sz w:val="20"/>
          <w:szCs w:val="20"/>
        </w:rPr>
        <w:t xml:space="preserve">First make the area safe and get help: give first aid, call 000 for any serious injury, and follow the emergency procedures for the site (SRL-CR-036 at Perth DC). Then report.</w:t>
      </w:r>
    </w:p>
    <w:p>
      <w:pPr>
        <w:spacing w:before="0" w:after="120" w:line="276"/>
      </w:pPr>
      <w:r>
        <w:rPr>
          <w:rFonts w:ascii="Aptos" w:cs="Aptos" w:eastAsia="Aptos" w:hAnsi="Aptos"/>
          <w:color w:val="1E2833"/>
          <w:sz w:val="20"/>
          <w:szCs w:val="20"/>
        </w:rPr>
        <w:t xml:space="preserve">Workers report every incident, near miss and hazard to their supervisor immediately, and in any case before the end of the shift. Contractor workers report to their SteelRiver representative or supervisor. Supervisors then report as follows and record the event in MyOSH.</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1900"/>
        <w:gridCol w:w="4052"/>
      </w:tblGrid>
      <w:tr>
        <w:trPr>
          <w:cantSplit/>
          <w:tblHeader/>
        </w:trPr>
        <w:tc>
          <w:tcPr>
            <w:tcW w:type="dxa" w:w="3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Incident type</w:t>
            </w:r>
          </w:p>
        </w:tc>
        <w:tc>
          <w:tcPr>
            <w:tcW w:type="dxa" w:w="1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Reported within</w:t>
            </w:r>
          </w:p>
        </w:tc>
        <w:tc>
          <w:tcPr>
            <w:tcW w:type="dxa" w:w="40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Reported by and to</w:t>
            </w:r>
          </w:p>
        </w:tc>
      </w:tr>
      <w:tr>
        <w:trPr>
          <w:cantSplit/>
        </w:trPr>
        <w:tc>
          <w:tcPr>
            <w:tcW w:type="dxa" w:w="3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aid injury</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24 hours</w:t>
            </w:r>
          </w:p>
        </w:tc>
        <w:tc>
          <w:tcPr>
            <w:tcW w:type="dxa" w:w="40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to WHS Coordinator</w:t>
            </w:r>
          </w:p>
        </w:tc>
      </w:tr>
      <w:tr>
        <w:trPr>
          <w:cantSplit/>
        </w:trPr>
        <w:tc>
          <w:tcPr>
            <w:tcW w:type="dxa" w:w="3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Near miss</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24 hours</w:t>
            </w:r>
          </w:p>
        </w:tc>
        <w:tc>
          <w:tcPr>
            <w:tcW w:type="dxa" w:w="40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to WHS Coordinator</w:t>
            </w:r>
          </w:p>
        </w:tc>
      </w:tr>
      <w:tr>
        <w:trPr>
          <w:cantSplit/>
        </w:trPr>
        <w:tc>
          <w:tcPr>
            <w:tcW w:type="dxa" w:w="3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Medical treatment injury</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24 hours</w:t>
            </w:r>
          </w:p>
        </w:tc>
        <w:tc>
          <w:tcPr>
            <w:tcW w:type="dxa" w:w="40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to National WHS Manager</w:t>
            </w:r>
          </w:p>
        </w:tc>
      </w:tr>
      <w:tr>
        <w:trPr>
          <w:cantSplit/>
        </w:trPr>
        <w:tc>
          <w:tcPr>
            <w:tcW w:type="dxa" w:w="3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Lost time injury</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8 hours</w:t>
            </w:r>
          </w:p>
        </w:tc>
        <w:tc>
          <w:tcPr>
            <w:tcW w:type="dxa" w:w="40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WHS Manager to CEO</w:t>
            </w:r>
          </w:p>
        </w:tc>
      </w:tr>
      <w:tr>
        <w:trPr>
          <w:cantSplit/>
        </w:trPr>
        <w:tc>
          <w:tcPr>
            <w:tcW w:type="dxa" w:w="3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Serious injury or illness (notifiable)</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Immediately</w:t>
            </w:r>
          </w:p>
        </w:tc>
        <w:tc>
          <w:tcPr>
            <w:tcW w:type="dxa" w:w="40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WHS Manager to the regulator</w:t>
            </w:r>
          </w:p>
        </w:tc>
      </w:tr>
      <w:tr>
        <w:trPr>
          <w:cantSplit/>
        </w:trPr>
        <w:tc>
          <w:tcPr>
            <w:tcW w:type="dxa" w:w="3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Dangerous incident (notifiable)</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Immediately</w:t>
            </w:r>
          </w:p>
        </w:tc>
        <w:tc>
          <w:tcPr>
            <w:tcW w:type="dxa" w:w="40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WHS Manager to the regulator</w:t>
            </w:r>
          </w:p>
        </w:tc>
      </w:tr>
      <w:tr>
        <w:trPr>
          <w:cantSplit/>
        </w:trPr>
        <w:tc>
          <w:tcPr>
            <w:tcW w:type="dxa" w:w="3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Property damage (no injury)</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48 hours</w:t>
            </w:r>
          </w:p>
        </w:tc>
        <w:tc>
          <w:tcPr>
            <w:tcW w:type="dxa" w:w="40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to WHS Coordinator</w:t>
            </w:r>
          </w:p>
        </w:tc>
      </w:tr>
    </w:tbl>
    <w:p>
      <w:pPr>
        <w:spacing w:before="120" w:after="120" w:line="276"/>
      </w:pPr>
      <w:r>
        <w:rPr>
          <w:rFonts w:ascii="Aptos" w:cs="Aptos" w:eastAsia="Aptos" w:hAnsi="Aptos"/>
          <w:color w:val="1E2833"/>
          <w:sz w:val="20"/>
          <w:szCs w:val="20"/>
        </w:rPr>
        <w:t xml:space="preserve">DC Managers make sure every recordable incident (MTI and above) is reported to the National WHS Manager within 24 hours. A psychosocial incident, such as aggression from a customer or a co-worker, is reported the same way and recorded in MyOSH with the psychosocial category (SRL-CR-044).</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Notifying the regulator and others</w:t>
      </w:r>
    </w:p>
    <w:p>
      <w:pPr>
        <w:pStyle w:val="ListParagraph"/>
        <w:numPr>
          <w:ilvl w:val="0"/>
          <w:numId w:val="2"/>
        </w:numPr>
        <w:spacing w:after="60" w:line="264"/>
      </w:pPr>
      <w:r>
        <w:rPr>
          <w:rFonts w:ascii="Aptos" w:cs="Aptos" w:eastAsia="Aptos" w:hAnsi="Aptos"/>
          <w:color w:val="1E2833"/>
          <w:sz w:val="20"/>
          <w:szCs w:val="20"/>
        </w:rPr>
        <w:t xml:space="preserve">The National WHS Manager notifies the regulator for the site immediately after SteelRiver becomes aware of a notifiable incident. If the National WHS Manager cannot be reached, the DC Manager makes the notification and tells her as soon as possible.</w:t>
      </w:r>
    </w:p>
    <w:p>
      <w:pPr>
        <w:pStyle w:val="ListParagraph"/>
        <w:numPr>
          <w:ilvl w:val="0"/>
          <w:numId w:val="2"/>
        </w:numPr>
        <w:spacing w:after="60" w:line="264"/>
      </w:pPr>
      <w:r>
        <w:rPr>
          <w:rFonts w:ascii="Aptos" w:cs="Aptos" w:eastAsia="Aptos" w:hAnsi="Aptos"/>
          <w:color w:val="1E2833"/>
          <w:sz w:val="20"/>
          <w:szCs w:val="20"/>
        </w:rPr>
        <w:t xml:space="preserve">The site of a notifiable incident is not disturbed until the regulator says it may be, except to help an injured person or to make the area safe.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2552"/>
      </w:tblGrid>
      <w:tr>
        <w:trPr>
          <w:cantSplit/>
          <w:tblHeader/>
        </w:trPr>
        <w:tc>
          <w:tcPr>
            <w:tcW w:type="dxa" w:w="3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c>
          <w:tcPr>
            <w:tcW w:type="dxa" w:w="3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w:t>
            </w:r>
          </w:p>
        </w:tc>
        <w:tc>
          <w:tcPr>
            <w:tcW w:type="dxa" w:w="25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By</w:t>
            </w:r>
          </w:p>
        </w:tc>
      </w:tr>
      <w:tr>
        <w:trPr>
          <w:cantSplit/>
        </w:trPr>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DC Manager and National WHS Manager</w:t>
            </w:r>
          </w:p>
        </w:tc>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Immediately for a serious injury, dangerous incident or death</w:t>
            </w:r>
          </w:p>
        </w:tc>
        <w:tc>
          <w:tcPr>
            <w:tcW w:type="dxa" w:w="2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on duty</w:t>
            </w:r>
          </w:p>
        </w:tc>
      </w:tr>
      <w:tr>
        <w:trPr>
          <w:cantSplit/>
        </w:trPr>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Operations Director and CEO</w:t>
            </w:r>
          </w:p>
        </w:tc>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soon as possible for a notifiable incident; within 8 hours for an LTI</w:t>
            </w:r>
          </w:p>
        </w:tc>
        <w:tc>
          <w:tcPr>
            <w:tcW w:type="dxa" w:w="2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WHS Manager</w:t>
            </w:r>
          </w:p>
        </w:tc>
      </w:tr>
      <w:tr>
        <w:trPr>
          <w:cantSplit/>
        </w:trPr>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Employer of a worker of another PCBU (labour hire provider, contractor)</w:t>
            </w:r>
          </w:p>
        </w:tc>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soon as possible</w:t>
            </w:r>
          </w:p>
        </w:tc>
        <w:tc>
          <w:tcPr>
            <w:tcW w:type="dxa" w:w="2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DC Manager</w:t>
            </w:r>
          </w:p>
        </w:tc>
      </w:tr>
      <w:tr>
        <w:trPr>
          <w:cantSplit/>
        </w:trPr>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HSR for the work group</w:t>
            </w:r>
          </w:p>
        </w:tc>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same shift, or the next shift for minor incidents</w:t>
            </w:r>
          </w:p>
        </w:tc>
        <w:tc>
          <w:tcPr>
            <w:tcW w:type="dxa" w:w="2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w:t>
            </w:r>
          </w:p>
        </w:tc>
      </w:tr>
      <w:tr>
        <w:trPr>
          <w:cantSplit/>
        </w:trPr>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Customer, where the incident affects its goods or site</w:t>
            </w:r>
          </w:p>
        </w:tc>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agreed in the contract</w:t>
            </w:r>
          </w:p>
        </w:tc>
        <w:tc>
          <w:tcPr>
            <w:tcW w:type="dxa" w:w="2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customer's account manager</w:t>
            </w:r>
          </w:p>
        </w:tc>
      </w:tr>
      <w:tr>
        <w:trPr>
          <w:cantSplit/>
        </w:trPr>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Insurer and injury management</w:t>
            </w:r>
          </w:p>
        </w:tc>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Within the claim timeframes</w:t>
            </w:r>
          </w:p>
        </w:tc>
        <w:tc>
          <w:tcPr>
            <w:tcW w:type="dxa" w:w="2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HR Business Partner (SRL-CR-058)</w:t>
            </w:r>
          </w:p>
        </w:tc>
      </w:tr>
    </w:tbl>
    <w:p>
      <w:pPr>
        <w:spacing w:before="120" w:after="120" w:line="276"/>
      </w:pPr>
      <w:r>
        <w:rPr>
          <w:rFonts w:ascii="Aptos" w:cs="Aptos" w:eastAsia="Aptos" w:hAnsi="Aptos"/>
          <w:color w:val="1E2833"/>
          <w:sz w:val="20"/>
          <w:szCs w:val="20"/>
        </w:rPr>
        <w:t xml:space="preserve">Only the CEO, or Marketing and Communications on the CEO's behalf, speaks to the media.</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Investigation</w:t>
      </w:r>
    </w:p>
    <w:p>
      <w:pPr>
        <w:spacing w:before="0" w:after="120" w:line="276"/>
      </w:pPr>
      <w:r>
        <w:rPr>
          <w:rFonts w:ascii="Aptos" w:cs="Aptos" w:eastAsia="Aptos" w:hAnsi="Aptos"/>
          <w:color w:val="1E2833"/>
          <w:sz w:val="20"/>
          <w:szCs w:val="20"/>
        </w:rPr>
        <w:t xml:space="preserve">Every incident is investigated, normally within 5 business days. The WHS Coordinator leads investigations of routine incidents with the supervisor and HSR. The National WHS Manager, or a lead investigator she appoints, leads investigations of notifiable incidents and lost time injuries, with an HSR on the team.</w:t>
      </w:r>
    </w:p>
    <w:p>
      <w:pPr>
        <w:keepNext/>
        <w:spacing w:before="200" w:after="80"/>
      </w:pPr>
      <w:r>
        <w:rPr>
          <w:rFonts w:ascii="Aptos Display" w:cs="Aptos Display" w:eastAsia="Aptos Display" w:hAnsi="Aptos Display"/>
          <w:b/>
          <w:bCs/>
          <w:color w:val="5E7C99"/>
          <w:sz w:val="24"/>
          <w:szCs w:val="24"/>
        </w:rPr>
        <w:t xml:space="preserve">6.1 Investigation steps</w:t>
      </w:r>
    </w:p>
    <w:p>
      <w:pPr>
        <w:pStyle w:val="ListParagraph"/>
        <w:numPr>
          <w:ilvl w:val="0"/>
          <w:numId w:val="3"/>
        </w:numPr>
        <w:spacing w:after="60" w:line="264"/>
      </w:pPr>
      <w:r>
        <w:rPr>
          <w:rFonts w:ascii="Aptos" w:cs="Aptos" w:eastAsia="Aptos" w:hAnsi="Aptos"/>
          <w:b/>
          <w:bCs/>
          <w:color w:val="1E2833"/>
          <w:sz w:val="20"/>
          <w:szCs w:val="20"/>
        </w:rPr>
        <w:t xml:space="preserve">Secure the scene.</w:t>
      </w:r>
      <w:r>
        <w:rPr>
          <w:rFonts w:ascii="Aptos" w:cs="Aptos" w:eastAsia="Aptos" w:hAnsi="Aptos"/>
          <w:color w:val="1E2833"/>
          <w:sz w:val="20"/>
          <w:szCs w:val="20"/>
        </w:rPr>
        <w:t xml:space="preserve"> Make safe, preserve evidence, support injured workers and do not disturb the area unnecessarily.</w:t>
      </w:r>
    </w:p>
    <w:p>
      <w:pPr>
        <w:pStyle w:val="ListParagraph"/>
        <w:numPr>
          <w:ilvl w:val="0"/>
          <w:numId w:val="3"/>
        </w:numPr>
        <w:spacing w:after="60" w:line="264"/>
      </w:pPr>
      <w:r>
        <w:rPr>
          <w:rFonts w:ascii="Aptos" w:cs="Aptos" w:eastAsia="Aptos" w:hAnsi="Aptos"/>
          <w:b/>
          <w:bCs/>
          <w:color w:val="1E2833"/>
          <w:sz w:val="20"/>
          <w:szCs w:val="20"/>
        </w:rPr>
        <w:t xml:space="preserve">Notify.</w:t>
      </w:r>
      <w:r>
        <w:rPr>
          <w:rFonts w:ascii="Aptos" w:cs="Aptos" w:eastAsia="Aptos" w:hAnsi="Aptos"/>
          <w:color w:val="1E2833"/>
          <w:sz w:val="20"/>
          <w:szCs w:val="20"/>
        </w:rPr>
        <w:t xml:space="preserve"> Notify the supervisor, WHS Coordinator and National WHS Manager within the timeframes in section 4, and the regulator for notifiable incidents (section 5).</w:t>
      </w:r>
    </w:p>
    <w:p>
      <w:pPr>
        <w:pStyle w:val="ListParagraph"/>
        <w:numPr>
          <w:ilvl w:val="0"/>
          <w:numId w:val="3"/>
        </w:numPr>
        <w:spacing w:after="60" w:line="264"/>
      </w:pPr>
      <w:r>
        <w:rPr>
          <w:rFonts w:ascii="Aptos" w:cs="Aptos" w:eastAsia="Aptos" w:hAnsi="Aptos"/>
          <w:b/>
          <w:bCs/>
          <w:color w:val="1E2833"/>
          <w:sz w:val="20"/>
          <w:szCs w:val="20"/>
        </w:rPr>
        <w:t xml:space="preserve">Gather evidence.</w:t>
      </w:r>
      <w:r>
        <w:rPr>
          <w:rFonts w:ascii="Aptos" w:cs="Aptos" w:eastAsia="Aptos" w:hAnsi="Aptos"/>
          <w:color w:val="1E2833"/>
          <w:sz w:val="20"/>
          <w:szCs w:val="20"/>
        </w:rPr>
        <w:t xml:space="preserve"> Collect evidence from people (interviews and statements), the scene (photos, measurements), documents (procedures, training and induction records, rosters, inspections) and electronic sources (MyOSH, warehouse and pick system logs, CCTV), and look for similar past incidents.</w:t>
      </w:r>
    </w:p>
    <w:p>
      <w:pPr>
        <w:pStyle w:val="ListParagraph"/>
        <w:numPr>
          <w:ilvl w:val="0"/>
          <w:numId w:val="3"/>
        </w:numPr>
        <w:spacing w:after="60" w:line="264"/>
      </w:pPr>
      <w:r>
        <w:rPr>
          <w:rFonts w:ascii="Aptos" w:cs="Aptos" w:eastAsia="Aptos" w:hAnsi="Aptos"/>
          <w:b/>
          <w:bCs/>
          <w:color w:val="1E2833"/>
          <w:sz w:val="20"/>
          <w:szCs w:val="20"/>
        </w:rPr>
        <w:t xml:space="preserve">Analyse causes.</w:t>
      </w:r>
      <w:r>
        <w:rPr>
          <w:rFonts w:ascii="Aptos" w:cs="Aptos" w:eastAsia="Aptos" w:hAnsi="Aptos"/>
          <w:color w:val="1E2833"/>
          <w:sz w:val="20"/>
          <w:szCs w:val="20"/>
        </w:rPr>
        <w:t xml:space="preserve"> Identify the immediate and underlying causes, looking past the actions of the people involved to the way work is designed, organised and managed.</w:t>
      </w:r>
    </w:p>
    <w:p>
      <w:pPr>
        <w:pStyle w:val="ListParagraph"/>
        <w:numPr>
          <w:ilvl w:val="0"/>
          <w:numId w:val="3"/>
        </w:numPr>
        <w:spacing w:after="60" w:line="264"/>
      </w:pPr>
      <w:r>
        <w:rPr>
          <w:rFonts w:ascii="Aptos" w:cs="Aptos" w:eastAsia="Aptos" w:hAnsi="Aptos"/>
          <w:b/>
          <w:bCs/>
          <w:color w:val="1E2833"/>
          <w:sz w:val="20"/>
          <w:szCs w:val="20"/>
        </w:rPr>
        <w:t xml:space="preserve">Identify corrective actions.</w:t>
      </w:r>
      <w:r>
        <w:rPr>
          <w:rFonts w:ascii="Aptos" w:cs="Aptos" w:eastAsia="Aptos" w:hAnsi="Aptos"/>
          <w:color w:val="1E2833"/>
          <w:sz w:val="20"/>
          <w:szCs w:val="20"/>
        </w:rPr>
        <w:t xml:space="preserve"> Apply the hierarchy of control. Give each action an owner, a due date and a way to check it worked.</w:t>
      </w:r>
    </w:p>
    <w:p>
      <w:pPr>
        <w:pStyle w:val="ListParagraph"/>
        <w:numPr>
          <w:ilvl w:val="0"/>
          <w:numId w:val="3"/>
        </w:numPr>
        <w:spacing w:after="60" w:line="264"/>
      </w:pPr>
      <w:r>
        <w:rPr>
          <w:rFonts w:ascii="Aptos" w:cs="Aptos" w:eastAsia="Aptos" w:hAnsi="Aptos"/>
          <w:b/>
          <w:bCs/>
          <w:color w:val="1E2833"/>
          <w:sz w:val="20"/>
          <w:szCs w:val="20"/>
        </w:rPr>
        <w:t xml:space="preserve">Document findings.</w:t>
      </w:r>
      <w:r>
        <w:rPr>
          <w:rFonts w:ascii="Aptos" w:cs="Aptos" w:eastAsia="Aptos" w:hAnsi="Aptos"/>
          <w:color w:val="1E2833"/>
          <w:sz w:val="20"/>
          <w:szCs w:val="20"/>
        </w:rPr>
        <w:t xml:space="preserve"> Write the investigation report in MyOSH. The National WHS Manager reviews every report on a medical treatment injury or more serious incident; the CEO endorses reports on serious incidents.</w:t>
      </w:r>
    </w:p>
    <w:p>
      <w:pPr>
        <w:pStyle w:val="ListParagraph"/>
        <w:numPr>
          <w:ilvl w:val="0"/>
          <w:numId w:val="3"/>
        </w:numPr>
        <w:spacing w:after="60" w:line="264"/>
      </w:pPr>
      <w:r>
        <w:rPr>
          <w:rFonts w:ascii="Aptos" w:cs="Aptos" w:eastAsia="Aptos" w:hAnsi="Aptos"/>
          <w:b/>
          <w:bCs/>
          <w:color w:val="1E2833"/>
          <w:sz w:val="20"/>
          <w:szCs w:val="20"/>
        </w:rPr>
        <w:t xml:space="preserve">Communicate findings.</w:t>
      </w:r>
      <w:r>
        <w:rPr>
          <w:rFonts w:ascii="Aptos" w:cs="Aptos" w:eastAsia="Aptos" w:hAnsi="Aptos"/>
          <w:color w:val="1E2833"/>
          <w:sz w:val="20"/>
          <w:szCs w:val="20"/>
        </w:rPr>
        <w:t xml:space="preserve"> Brief affected work groups within 10 business days of the report. Update procedures, briefings and training as needed.</w:t>
      </w:r>
    </w:p>
    <w:p>
      <w:pPr>
        <w:pStyle w:val="ListParagraph"/>
        <w:numPr>
          <w:ilvl w:val="0"/>
          <w:numId w:val="3"/>
        </w:numPr>
        <w:spacing w:after="60" w:line="264"/>
      </w:pPr>
      <w:r>
        <w:rPr>
          <w:rFonts w:ascii="Aptos" w:cs="Aptos" w:eastAsia="Aptos" w:hAnsi="Aptos"/>
          <w:b/>
          <w:bCs/>
          <w:color w:val="1E2833"/>
          <w:sz w:val="20"/>
          <w:szCs w:val="20"/>
        </w:rPr>
        <w:t xml:space="preserve">Verify corrective actions.</w:t>
      </w:r>
      <w:r>
        <w:rPr>
          <w:rFonts w:ascii="Aptos" w:cs="Aptos" w:eastAsia="Aptos" w:hAnsi="Aptos"/>
          <w:color w:val="1E2833"/>
          <w:sz w:val="20"/>
          <w:szCs w:val="20"/>
        </w:rPr>
        <w:t xml:space="preserve"> The WHS Coordinator checks that corrective actions are closed, normally within 30 days, and that they work. Committees review overdue actions monthly.</w:t>
      </w:r>
    </w:p>
    <w:p>
      <w:pPr>
        <w:keepNext/>
        <w:spacing w:before="200" w:after="80"/>
      </w:pPr>
      <w:r>
        <w:rPr>
          <w:rFonts w:ascii="Aptos Display" w:cs="Aptos Display" w:eastAsia="Aptos Display" w:hAnsi="Aptos Display"/>
          <w:b/>
          <w:bCs/>
          <w:color w:val="5E7C99"/>
          <w:sz w:val="24"/>
          <w:szCs w:val="24"/>
        </w:rPr>
        <w:t xml:space="preserve">6.2 Roles in an investigation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7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Lead investigator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WHS Coordinator for routine incidents; National WHS Manager or her appointed lead for serious incidents; external investigator for fatalities or matters likely to attract regulator action. Plans and runs the investigation and writes the report.</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Supervisor of the injured worker or the area</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First-line scene control and evidence preservation. Supports the investigation.</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HSR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Represents the interests of the work group. May be present at interviews with the worker's consent.</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Workers involved and witnesses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Give a factual account. May have the HSR or a support person present. An accredited interpreter is provided when needed.</w:t>
            </w:r>
          </w:p>
        </w:tc>
      </w:tr>
    </w:tbl>
    <w:p>
      <w:pPr>
        <w:spacing w:before="120" w:after="120" w:line="276"/>
      </w:pPr>
      <w:r>
        <w:rPr>
          <w:rFonts w:ascii="Aptos" w:cs="Aptos" w:eastAsia="Aptos" w:hAnsi="Aptos"/>
          <w:color w:val="1E2833"/>
          <w:sz w:val="20"/>
          <w:szCs w:val="20"/>
        </w:rPr>
        <w:t xml:space="preserve">Interviews are held separately and in private and recorded in writing. Personal and health information is handled under SRL-CR-018 Information Privacy and Confidentiality Policy and SRL-CR-038 Information Collection and Data Handling Procedure.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Corrective actions and learning</w:t>
      </w:r>
    </w:p>
    <w:p>
      <w:pPr>
        <w:pStyle w:val="ListParagraph"/>
        <w:numPr>
          <w:ilvl w:val="0"/>
          <w:numId w:val="2"/>
        </w:numPr>
        <w:spacing w:after="60" w:line="264"/>
      </w:pPr>
      <w:r>
        <w:rPr>
          <w:rFonts w:ascii="Aptos" w:cs="Aptos" w:eastAsia="Aptos" w:hAnsi="Aptos"/>
          <w:color w:val="1E2833"/>
          <w:sz w:val="20"/>
          <w:szCs w:val="20"/>
        </w:rPr>
        <w:t xml:space="preserve">Every corrective action is entered in MyOSH with an owner and due date.</w:t>
      </w:r>
    </w:p>
    <w:p>
      <w:pPr>
        <w:pStyle w:val="ListParagraph"/>
        <w:numPr>
          <w:ilvl w:val="0"/>
          <w:numId w:val="2"/>
        </w:numPr>
        <w:spacing w:after="60" w:line="264"/>
      </w:pPr>
      <w:r>
        <w:rPr>
          <w:rFonts w:ascii="Aptos" w:cs="Aptos" w:eastAsia="Aptos" w:hAnsi="Aptos"/>
          <w:color w:val="1E2833"/>
          <w:sz w:val="20"/>
          <w:szCs w:val="20"/>
        </w:rPr>
        <w:t xml:space="preserve">Interim controls are put in place straight away when a permanent control will take time.</w:t>
      </w:r>
    </w:p>
    <w:p>
      <w:pPr>
        <w:pStyle w:val="ListParagraph"/>
        <w:numPr>
          <w:ilvl w:val="0"/>
          <w:numId w:val="2"/>
        </w:numPr>
        <w:spacing w:after="60" w:line="264"/>
      </w:pPr>
      <w:r>
        <w:rPr>
          <w:rFonts w:ascii="Aptos" w:cs="Aptos" w:eastAsia="Aptos" w:hAnsi="Aptos"/>
          <w:color w:val="1E2833"/>
          <w:sz w:val="20"/>
          <w:szCs w:val="20"/>
        </w:rPr>
        <w:t xml:space="preserve">Findings and lessons are shared with all sites through the National HSE Committee, and with contractors and labour hire providers affected.</w:t>
      </w:r>
    </w:p>
    <w:p>
      <w:pPr>
        <w:pStyle w:val="ListParagraph"/>
        <w:numPr>
          <w:ilvl w:val="0"/>
          <w:numId w:val="2"/>
        </w:numPr>
        <w:spacing w:after="60" w:line="264"/>
      </w:pPr>
      <w:r>
        <w:rPr>
          <w:rFonts w:ascii="Aptos" w:cs="Aptos" w:eastAsia="Aptos" w:hAnsi="Aptos"/>
          <w:color w:val="1E2833"/>
          <w:sz w:val="20"/>
          <w:szCs w:val="20"/>
        </w:rPr>
        <w:t xml:space="preserve">Injury management and return to work follow SRL-CR-058.</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Records</w:t>
      </w:r>
    </w:p>
    <w:p>
      <w:pPr>
        <w:pStyle w:val="ListParagraph"/>
        <w:numPr>
          <w:ilvl w:val="0"/>
          <w:numId w:val="2"/>
        </w:numPr>
        <w:spacing w:after="60" w:line="264"/>
      </w:pPr>
      <w:r>
        <w:rPr>
          <w:rFonts w:ascii="Aptos" w:cs="Aptos" w:eastAsia="Aptos" w:hAnsi="Aptos"/>
          <w:color w:val="1E2833"/>
          <w:sz w:val="20"/>
          <w:szCs w:val="20"/>
        </w:rPr>
        <w:t xml:space="preserve">MyOSH is the system of record for incident reports, investigations and actions.</w:t>
      </w:r>
    </w:p>
    <w:p>
      <w:pPr>
        <w:pStyle w:val="ListParagraph"/>
        <w:numPr>
          <w:ilvl w:val="0"/>
          <w:numId w:val="2"/>
        </w:numPr>
        <w:spacing w:after="60" w:line="264"/>
      </w:pPr>
      <w:r>
        <w:rPr>
          <w:rFonts w:ascii="Aptos" w:cs="Aptos" w:eastAsia="Aptos" w:hAnsi="Aptos"/>
          <w:color w:val="1E2833"/>
          <w:sz w:val="20"/>
          <w:szCs w:val="20"/>
        </w:rPr>
        <w:t xml:space="preserve">Retention periods follow SRL-CR-019.</w:t>
      </w:r>
    </w:p>
    <w:p>
      <w:pPr>
        <w:pStyle w:val="ListParagraph"/>
        <w:numPr>
          <w:ilvl w:val="0"/>
          <w:numId w:val="2"/>
        </w:numPr>
        <w:spacing w:after="60" w:line="264"/>
      </w:pPr>
      <w:r>
        <w:rPr>
          <w:rFonts w:ascii="Aptos" w:cs="Aptos" w:eastAsia="Aptos" w:hAnsi="Aptos"/>
          <w:color w:val="1E2833"/>
          <w:sz w:val="20"/>
          <w:szCs w:val="20"/>
        </w:rPr>
        <w:t xml:space="preserve">Investigation reports are confidential. They are shared with the people who need them to act, the Perth DC WHS Committee (de-identified where possible) and the regulator on request.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Monitoring</w:t>
      </w:r>
    </w:p>
    <w:p>
      <w:pPr>
        <w:spacing w:before="0" w:after="120" w:line="276"/>
      </w:pPr>
      <w:r>
        <w:rPr>
          <w:rFonts w:ascii="Aptos" w:cs="Aptos" w:eastAsia="Aptos" w:hAnsi="Aptos"/>
          <w:color w:val="1E2833"/>
          <w:sz w:val="20"/>
          <w:szCs w:val="20"/>
        </w:rPr>
        <w:t xml:space="preserve">The National WHS Manager reviews incident data monthly for trends. Performance against these targets is reported to the National HSE Committee and in the WHS Management Plan (SRL-CR-012):</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752"/>
        <w:gridCol w:w="2000"/>
      </w:tblGrid>
      <w:tr>
        <w:trPr>
          <w:cantSplit/>
          <w:tblHeader/>
        </w:trPr>
        <w:tc>
          <w:tcPr>
            <w:tcW w:type="dxa" w:w="77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Measure</w:t>
            </w:r>
          </w:p>
        </w:tc>
        <w:tc>
          <w:tcPr>
            <w:tcW w:type="dxa" w:w="2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Target</w:t>
            </w:r>
          </w:p>
        </w:tc>
      </w:tr>
      <w:tr>
        <w:trPr>
          <w:cantSplit/>
        </w:trPr>
        <w:tc>
          <w:tcPr>
            <w:tcW w:type="dxa" w:w="7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Recordable incidents reported to the National WHS Manager within 24 hours</w:t>
            </w:r>
          </w:p>
        </w:tc>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100%</w:t>
            </w:r>
          </w:p>
        </w:tc>
      </w:tr>
      <w:tr>
        <w:trPr>
          <w:cantSplit/>
        </w:trPr>
        <w:tc>
          <w:tcPr>
            <w:tcW w:type="dxa" w:w="7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Incidents investigated within 5 business days</w:t>
            </w:r>
          </w:p>
        </w:tc>
        <w:tc>
          <w:tcPr>
            <w:tcW w:type="dxa" w:w="2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100%</w:t>
            </w:r>
          </w:p>
        </w:tc>
      </w:tr>
      <w:tr>
        <w:trPr>
          <w:cantSplit/>
        </w:trPr>
        <w:tc>
          <w:tcPr>
            <w:tcW w:type="dxa" w:w="7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Findings communicated to affected work groups within 10 business days</w:t>
            </w:r>
          </w:p>
        </w:tc>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100%</w:t>
            </w:r>
          </w:p>
        </w:tc>
      </w:tr>
      <w:tr>
        <w:trPr>
          <w:cantSplit/>
        </w:trPr>
        <w:tc>
          <w:tcPr>
            <w:tcW w:type="dxa" w:w="7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Corrective actions closed within 30 days</w:t>
            </w:r>
          </w:p>
        </w:tc>
        <w:tc>
          <w:tcPr>
            <w:tcW w:type="dxa" w:w="2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least 90%</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Related documents</w:t>
      </w:r>
    </w:p>
    <w:p>
      <w:pPr>
        <w:pStyle w:val="ListParagraph"/>
        <w:numPr>
          <w:ilvl w:val="0"/>
          <w:numId w:val="2"/>
        </w:numPr>
        <w:spacing w:after="60" w:line="264"/>
      </w:pPr>
      <w:r>
        <w:rPr>
          <w:rFonts w:ascii="Aptos" w:cs="Aptos" w:eastAsia="Aptos" w:hAnsi="Aptos"/>
          <w:color w:val="1E2833"/>
          <w:sz w:val="20"/>
          <w:szCs w:val="20"/>
        </w:rPr>
        <w:t xml:space="preserve">SRL-CR-012 WHS Management Plan</w:t>
      </w:r>
    </w:p>
    <w:p>
      <w:pPr>
        <w:pStyle w:val="ListParagraph"/>
        <w:numPr>
          <w:ilvl w:val="0"/>
          <w:numId w:val="2"/>
        </w:numPr>
        <w:spacing w:after="60" w:line="264"/>
      </w:pPr>
      <w:r>
        <w:rPr>
          <w:rFonts w:ascii="Aptos" w:cs="Aptos" w:eastAsia="Aptos" w:hAnsi="Aptos"/>
          <w:color w:val="1E2833"/>
          <w:sz w:val="20"/>
          <w:szCs w:val="20"/>
        </w:rPr>
        <w:t xml:space="preserve">SRL-CR-030 WHS Risk Management Procedure and SRL-CR-061 Risk Assessment Template and SRL 5x5 Risk Matrix</w:t>
      </w:r>
    </w:p>
    <w:p>
      <w:pPr>
        <w:pStyle w:val="ListParagraph"/>
        <w:numPr>
          <w:ilvl w:val="0"/>
          <w:numId w:val="2"/>
        </w:numPr>
        <w:spacing w:after="60" w:line="264"/>
      </w:pPr>
      <w:r>
        <w:rPr>
          <w:rFonts w:ascii="Aptos" w:cs="Aptos" w:eastAsia="Aptos" w:hAnsi="Aptos"/>
          <w:color w:val="1E2833"/>
          <w:sz w:val="20"/>
          <w:szCs w:val="20"/>
        </w:rPr>
        <w:t xml:space="preserve">SRL-CR-033 Consultation, Cooperation and Coordination with Other PCBUs Procedure</w:t>
      </w:r>
    </w:p>
    <w:p>
      <w:pPr>
        <w:pStyle w:val="ListParagraph"/>
        <w:numPr>
          <w:ilvl w:val="0"/>
          <w:numId w:val="2"/>
        </w:numPr>
        <w:spacing w:after="60" w:line="264"/>
      </w:pPr>
      <w:r>
        <w:rPr>
          <w:rFonts w:ascii="Aptos" w:cs="Aptos" w:eastAsia="Aptos" w:hAnsi="Aptos"/>
          <w:color w:val="1E2833"/>
          <w:sz w:val="20"/>
          <w:szCs w:val="20"/>
        </w:rPr>
        <w:t xml:space="preserve">SRL-CR-036 Emergency Response and Evacuation Procedures, Perth DC</w:t>
      </w:r>
    </w:p>
    <w:p>
      <w:pPr>
        <w:pStyle w:val="ListParagraph"/>
        <w:numPr>
          <w:ilvl w:val="0"/>
          <w:numId w:val="2"/>
        </w:numPr>
        <w:spacing w:after="60" w:line="264"/>
      </w:pPr>
      <w:r>
        <w:rPr>
          <w:rFonts w:ascii="Aptos" w:cs="Aptos" w:eastAsia="Aptos" w:hAnsi="Aptos"/>
          <w:color w:val="1E2833"/>
          <w:sz w:val="20"/>
          <w:szCs w:val="20"/>
        </w:rPr>
        <w:t xml:space="preserve">SRL-CR-044 Psychosocial Hazard Management Procedure</w:t>
      </w:r>
    </w:p>
    <w:p>
      <w:pPr>
        <w:pStyle w:val="ListParagraph"/>
        <w:numPr>
          <w:ilvl w:val="0"/>
          <w:numId w:val="2"/>
        </w:numPr>
        <w:spacing w:after="60" w:line="264"/>
      </w:pPr>
      <w:r>
        <w:rPr>
          <w:rFonts w:ascii="Aptos" w:cs="Aptos" w:eastAsia="Aptos" w:hAnsi="Aptos"/>
          <w:color w:val="1E2833"/>
          <w:sz w:val="20"/>
          <w:szCs w:val="20"/>
        </w:rPr>
        <w:t xml:space="preserve">SRL-CR-053 Employee Assistance Program and Wellbeing Support Procedure</w:t>
      </w:r>
    </w:p>
    <w:p>
      <w:pPr>
        <w:pStyle w:val="ListParagraph"/>
        <w:numPr>
          <w:ilvl w:val="0"/>
          <w:numId w:val="2"/>
        </w:numPr>
        <w:spacing w:after="60" w:line="264"/>
      </w:pPr>
      <w:r>
        <w:rPr>
          <w:rFonts w:ascii="Aptos" w:cs="Aptos" w:eastAsia="Aptos" w:hAnsi="Aptos"/>
          <w:color w:val="1E2833"/>
          <w:sz w:val="20"/>
          <w:szCs w:val="20"/>
        </w:rPr>
        <w:t xml:space="preserve">SRL-CR-058 Injury Management and Return to Work Procedure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17 November 2025</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Issued as a stand-alone national procedure. Incidents recorded in MyOSH. Merged the site incident procedures.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January 2025</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Investigation Procedure issued as section 5 of the 2025 WHS Management Plan.</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SRL-CR-035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SRL-CR-035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SRL-CR-035  ·  Incident Reporting and Investigation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SRL-CR-035 Incident Reporting and Investigation Procedure</dc:title>
  <dc:creator>SteelRiver Logistics Pty Ltd</dc:creator>
  <cp:lastModifiedBy>Un-named</cp:lastModifiedBy>
  <cp:revision>1</cp:revision>
  <dcterms:created xsi:type="dcterms:W3CDTF">2026-11-01T14:27:18.255Z</dcterms:created>
  <dcterms:modified xsi:type="dcterms:W3CDTF">2026-11-01T14:27:18.255Z</dcterms:modified>
</cp:coreProperties>
</file>

<file path=docProps/custom.xml><?xml version="1.0" encoding="utf-8"?>
<Properties xmlns="http://schemas.openxmlformats.org/officeDocument/2006/custom-properties" xmlns:vt="http://schemas.openxmlformats.org/officeDocument/2006/docPropsVTypes"/>
</file>