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SRL-CR-040</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Grievance Procedure</w:t>
      </w:r>
    </w:p>
    <w:p>
      <w:pPr>
        <w:spacing w:before="0" w:after="160" w:line="276"/>
      </w:pPr>
      <w:r>
        <w:rPr>
          <w:rFonts w:ascii="Aptos" w:cs="Aptos" w:eastAsia="Aptos" w:hAnsi="Aptos"/>
          <w:color w:val="5E7C99"/>
          <w:sz w:val="24"/>
          <w:szCs w:val="24"/>
        </w:rPr>
        <w:t xml:space="preserve">How SteelRiver employees raise and resolve complaints about how they are treated at 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SRL-CR-040</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July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June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employees and managers, all sites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procedure sets out how SteelRiver Logistics Pty Ltd (SteelRiver) employees can raise a grievance about their employment or how they have been treated at work, and how SteelRiver deals with it fairly, confidentially and promptly. It supports our operating principle of "plain talking": problems are raised early and dealt with openly.</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 all SteelRiver employees (full time, part time and casual) at the Perth DC and head office, the Brisbane DC and the Newcastle DC. A grievance may be raised about another employee, a manager, a decision, a policy or the way a policy has been applied.</w:t>
      </w:r>
    </w:p>
    <w:p>
      <w:pPr>
        <w:spacing w:before="120" w:after="120" w:line="276"/>
      </w:pPr>
      <w:r>
        <w:rPr>
          <w:rFonts w:ascii="Aptos" w:cs="Aptos" w:eastAsia="Aptos" w:hAnsi="Aptos"/>
          <w:color w:val="1E2833"/>
          <w:sz w:val="20"/>
          <w:szCs w:val="20"/>
        </w:rPr>
        <w:t xml:space="preserve">Workers of contractors and labour hire providers raise grievances about their own employment with their employer. If their complaint is about how they have been treated by a SteelRiver employee at a SteelRiver site, they may raise it with the SteelRiver contract owner or the HR Business Partner, and SteelRiver deals with it under this procedure together with their employer (Section 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What this procedure covers, and what it does not</w:t>
      </w:r>
    </w:p>
    <w:p>
      <w:pPr>
        <w:spacing w:before="0" w:after="120" w:line="276"/>
      </w:pPr>
      <w:r>
        <w:rPr>
          <w:rFonts w:ascii="Aptos" w:cs="Aptos" w:eastAsia="Aptos" w:hAnsi="Aptos"/>
          <w:color w:val="1E2833"/>
          <w:sz w:val="20"/>
          <w:szCs w:val="20"/>
        </w:rPr>
        <w:t xml:space="preserve">A </w:t>
      </w:r>
      <w:r>
        <w:rPr>
          <w:rFonts w:ascii="Aptos" w:cs="Aptos" w:eastAsia="Aptos" w:hAnsi="Aptos"/>
          <w:b/>
          <w:bCs/>
          <w:color w:val="1E2833"/>
          <w:sz w:val="20"/>
          <w:szCs w:val="20"/>
        </w:rPr>
        <w:t xml:space="preserve">grievance</w:t>
      </w:r>
      <w:r>
        <w:rPr>
          <w:rFonts w:ascii="Aptos" w:cs="Aptos" w:eastAsia="Aptos" w:hAnsi="Aptos"/>
          <w:color w:val="1E2833"/>
          <w:sz w:val="20"/>
          <w:szCs w:val="20"/>
        </w:rPr>
        <w:t xml:space="preserve"> is a complaint by an employee that they have been treated unfairly or wrongly at work, or about a work decision that affects them. Examples:</w:t>
      </w:r>
    </w:p>
    <w:p>
      <w:pPr>
        <w:pStyle w:val="ListParagraph"/>
        <w:numPr>
          <w:ilvl w:val="0"/>
          <w:numId w:val="2"/>
        </w:numPr>
        <w:spacing w:after="60" w:line="264"/>
      </w:pPr>
      <w:r>
        <w:rPr>
          <w:rFonts w:ascii="Aptos" w:cs="Aptos" w:eastAsia="Aptos" w:hAnsi="Aptos"/>
          <w:color w:val="1E2833"/>
          <w:sz w:val="20"/>
          <w:szCs w:val="20"/>
        </w:rPr>
        <w:t xml:space="preserve">bullying, harassment (including sexual harassment), discrimination or victimisation</w:t>
      </w:r>
    </w:p>
    <w:p>
      <w:pPr>
        <w:pStyle w:val="ListParagraph"/>
        <w:numPr>
          <w:ilvl w:val="0"/>
          <w:numId w:val="2"/>
        </w:numPr>
        <w:spacing w:after="60" w:line="264"/>
      </w:pPr>
      <w:r>
        <w:rPr>
          <w:rFonts w:ascii="Aptos" w:cs="Aptos" w:eastAsia="Aptos" w:hAnsi="Aptos"/>
          <w:color w:val="1E2833"/>
          <w:sz w:val="20"/>
          <w:szCs w:val="20"/>
        </w:rPr>
        <w:t xml:space="preserve">conflict with a co-worker, supervisor or manager that has not been resolved informally</w:t>
      </w:r>
    </w:p>
    <w:p>
      <w:pPr>
        <w:pStyle w:val="ListParagraph"/>
        <w:numPr>
          <w:ilvl w:val="0"/>
          <w:numId w:val="2"/>
        </w:numPr>
        <w:spacing w:after="60" w:line="264"/>
      </w:pPr>
      <w:r>
        <w:rPr>
          <w:rFonts w:ascii="Aptos" w:cs="Aptos" w:eastAsia="Aptos" w:hAnsi="Aptos"/>
          <w:color w:val="1E2833"/>
          <w:sz w:val="20"/>
          <w:szCs w:val="20"/>
        </w:rPr>
        <w:t xml:space="preserve">how a roster, shift, overtime, leave or transfer decision was made</w:t>
      </w:r>
    </w:p>
    <w:p>
      <w:pPr>
        <w:pStyle w:val="ListParagraph"/>
        <w:numPr>
          <w:ilvl w:val="0"/>
          <w:numId w:val="2"/>
        </w:numPr>
        <w:spacing w:after="60" w:line="264"/>
      </w:pPr>
      <w:r>
        <w:rPr>
          <w:rFonts w:ascii="Aptos" w:cs="Aptos" w:eastAsia="Aptos" w:hAnsi="Aptos"/>
          <w:color w:val="1E2833"/>
          <w:sz w:val="20"/>
          <w:szCs w:val="20"/>
        </w:rPr>
        <w:t xml:space="preserve">how a performance rating, performance improvement plan or other policy was applied to them</w:t>
      </w:r>
    </w:p>
    <w:p>
      <w:pPr>
        <w:pStyle w:val="ListParagraph"/>
        <w:numPr>
          <w:ilvl w:val="0"/>
          <w:numId w:val="2"/>
        </w:numPr>
        <w:spacing w:after="60" w:line="264"/>
      </w:pPr>
      <w:r>
        <w:rPr>
          <w:rFonts w:ascii="Aptos" w:cs="Aptos" w:eastAsia="Aptos" w:hAnsi="Aptos"/>
          <w:color w:val="1E2833"/>
          <w:sz w:val="20"/>
          <w:szCs w:val="20"/>
        </w:rPr>
        <w:t xml:space="preserve">pay, classification or conditions under the applicable modern award, enterprise agreement or employment contract.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WHS issues are not grievances</w:t>
            </w:r>
          </w:p>
          <w:p>
            <w:pPr>
              <w:spacing w:before="0" w:after="60" w:line="276"/>
            </w:pPr>
            <w:r>
              <w:rPr>
                <w:rFonts w:ascii="Aptos" w:cs="Aptos" w:eastAsia="Aptos" w:hAnsi="Aptos"/>
                <w:color w:val="1E2833"/>
                <w:sz w:val="20"/>
                <w:szCs w:val="20"/>
              </w:rPr>
              <w:t xml:space="preserve">A concern about work health or safety (an unsafe practice, a missing control, a change to work, inadequate facilities) is a </w:t>
            </w:r>
            <w:r>
              <w:rPr>
                <w:rFonts w:ascii="Aptos" w:cs="Aptos" w:eastAsia="Aptos" w:hAnsi="Aptos"/>
                <w:b/>
                <w:bCs/>
                <w:color w:val="1E2833"/>
                <w:sz w:val="20"/>
                <w:szCs w:val="20"/>
              </w:rPr>
              <w:t xml:space="preserve">WHS issue</w:t>
            </w:r>
            <w:r>
              <w:rPr>
                <w:rFonts w:ascii="Aptos" w:cs="Aptos" w:eastAsia="Aptos" w:hAnsi="Aptos"/>
                <w:color w:val="1E2833"/>
                <w:sz w:val="20"/>
                <w:szCs w:val="20"/>
              </w:rPr>
              <w:t xml:space="preserve">. It is resolved under </w:t>
            </w:r>
            <w:r>
              <w:rPr>
                <w:rFonts w:ascii="Aptos" w:cs="Aptos" w:eastAsia="Aptos" w:hAnsi="Aptos"/>
                <w:b/>
                <w:bCs/>
                <w:color w:val="1E2833"/>
                <w:sz w:val="20"/>
                <w:szCs w:val="20"/>
              </w:rPr>
              <w:t xml:space="preserve">SRL-CR-032 WHS Issue Resolution Procedure</w:t>
            </w:r>
            <w:r>
              <w:rPr>
                <w:rFonts w:ascii="Aptos" w:cs="Aptos" w:eastAsia="Aptos" w:hAnsi="Aptos"/>
                <w:color w:val="1E2833"/>
                <w:sz w:val="20"/>
                <w:szCs w:val="20"/>
              </w:rPr>
              <w:t xml:space="preserve">, which is SteelRiver's agreed procedure under the WHS Act. It has its own steps, involves the HSR, and preserves the right to cease unsafe work and to ask the regulator for an inspector. Do not hold a WHS issue back while a grievance is dealt with.</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3300"/>
        <w:gridCol w:w="3052"/>
      </w:tblGrid>
      <w:tr>
        <w:trPr>
          <w:cantSplit/>
          <w:tblHeader/>
        </w:trPr>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If the matter is about...</w:t>
            </w:r>
          </w:p>
        </w:tc>
        <w:tc>
          <w:tcPr>
            <w:tcW w:type="dxa" w:w="3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Use</w:t>
            </w:r>
          </w:p>
        </w:tc>
        <w:tc>
          <w:tcPr>
            <w:tcW w:type="dxa" w:w="30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WHS issue raised by a worker, HSR or manager</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SRL-CR-032 WHS Issue Resolution Procedure and SRL-CR-068 form</w:t>
            </w:r>
          </w:p>
        </w:tc>
        <w:tc>
          <w:tcPr>
            <w:tcW w:type="dxa" w:w="3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Raise with your supervisor or HSR. Hazards and incidents are reported in MyOSH (SRL-CR-035).</w:t>
            </w:r>
          </w:p>
        </w:tc>
      </w:tr>
      <w:tr>
        <w:trPr>
          <w:cantSplit/>
        </w:trPr>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you have been treated at work, or a decision about your employment</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This procedure</w:t>
            </w:r>
          </w:p>
        </w:tc>
        <w:tc>
          <w:tcPr>
            <w:tcW w:type="dxa" w:w="3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Start with your manager, or the HR Business Partner if that is not appropriate (Section 5).</w:t>
            </w:r>
          </w:p>
        </w:tc>
      </w:tr>
      <w:tr>
        <w:trPr>
          <w:cantSplit/>
        </w:trPr>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Bullying or harassment</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This procedure, and the psychosocial hazard arrangements in SRL-CR-044</w:t>
            </w:r>
          </w:p>
        </w:tc>
        <w:tc>
          <w:tcPr>
            <w:tcW w:type="dxa" w:w="3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handles the complaint. The WHS Coordinator manages the hazard (Section 8.2).</w:t>
            </w:r>
          </w:p>
        </w:tc>
      </w:tr>
      <w:tr>
        <w:trPr>
          <w:cantSplit/>
        </w:trPr>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Being treated unfavourably for raising a WHS issue or using a WHS right</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This procedure, as a formal grievance from the start</w:t>
            </w:r>
          </w:p>
        </w:tc>
        <w:tc>
          <w:tcPr>
            <w:tcW w:type="dxa" w:w="3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National WHS Manager is told. Discriminatory conduct of this kind is prohibited under Part 6 of the WHS Act.</w:t>
            </w:r>
          </w:p>
        </w:tc>
      </w:tr>
      <w:tr>
        <w:trPr>
          <w:cantSplit/>
        </w:trPr>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Wrongdoing you want to report confidentially or anonymously (fraud, theft, serious misconduct, a whistleblower disclosure)</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Conduct hotline 1800-SRL-LINE, SRL-CR-023 Speak Up and Whistleblower Protection Policy</w:t>
            </w:r>
          </w:p>
        </w:tc>
        <w:tc>
          <w:tcPr>
            <w:tcW w:type="dxa" w:w="3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Run by an external provider. It is not the EAP.</w:t>
            </w:r>
          </w:p>
        </w:tc>
      </w:tr>
      <w:tr>
        <w:trPr>
          <w:cantSplit/>
        </w:trPr>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Your own performance rating</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respond in writing under SRL-CR-021 Section 5.4; then this procedure if you believe the process was unfair</w:t>
            </w:r>
          </w:p>
        </w:tc>
        <w:tc>
          <w:tcPr>
            <w:tcW w:type="dxa" w:w="3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p>
        </w:tc>
      </w:tr>
      <w:tr>
        <w:trPr>
          <w:cantSplit/>
        </w:trPr>
        <w:tc>
          <w:tcPr>
            <w:tcW w:type="dxa" w:w="34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privacy concern about your personal information</w:t>
            </w:r>
          </w:p>
        </w:tc>
        <w:tc>
          <w:tcPr>
            <w:tcW w:type="dxa" w:w="3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 Officer (SRL-CR-018)</w:t>
            </w:r>
          </w:p>
        </w:tc>
        <w:tc>
          <w:tcPr>
            <w:tcW w:type="dxa" w:w="3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34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Misconduct by an employee found during a grievance</w:t>
            </w:r>
          </w:p>
        </w:tc>
        <w:tc>
          <w:tcPr>
            <w:tcW w:type="dxa" w:w="33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SRL-CR-039 Termination and Disciplinary Procedure</w:t>
            </w:r>
          </w:p>
        </w:tc>
        <w:tc>
          <w:tcPr>
            <w:tcW w:type="dxa" w:w="3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Dealt with separately once the grievance findings are made.</w:t>
            </w:r>
          </w:p>
        </w:tc>
      </w:tr>
    </w:tbl>
    <w:p>
      <w:pPr>
        <w:spacing w:before="120" w:after="120" w:line="276"/>
      </w:pPr>
      <w:r>
        <w:rPr>
          <w:rFonts w:ascii="Aptos" w:cs="Aptos" w:eastAsia="Aptos" w:hAnsi="Aptos"/>
          <w:color w:val="1E2833"/>
          <w:sz w:val="20"/>
          <w:szCs w:val="20"/>
        </w:rPr>
        <w:t xml:space="preserve">A grievance may contain both a WHS issue and an employment matter (for example a complaint that a supervisor ignored a hazard report and then changed the worker's shifts). The person receiving it separates the two: the WHS issue goes straight to SRL-CR-032 and the employment matter continues under this procedure. Both people involved are told which process is handling which part.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Principles</w:t>
      </w:r>
    </w:p>
    <w:p>
      <w:pPr>
        <w:pStyle w:val="ListParagraph"/>
        <w:numPr>
          <w:ilvl w:val="0"/>
          <w:numId w:val="2"/>
        </w:numPr>
        <w:spacing w:after="60" w:line="264"/>
      </w:pPr>
      <w:r>
        <w:rPr>
          <w:rFonts w:ascii="Aptos" w:cs="Aptos" w:eastAsia="Aptos" w:hAnsi="Aptos"/>
          <w:b/>
          <w:bCs/>
          <w:color w:val="1E2833"/>
          <w:sz w:val="20"/>
          <w:szCs w:val="20"/>
        </w:rPr>
        <w:t xml:space="preserve">Early and informal first,</w:t>
      </w:r>
      <w:r>
        <w:rPr>
          <w:rFonts w:ascii="Aptos" w:cs="Aptos" w:eastAsia="Aptos" w:hAnsi="Aptos"/>
          <w:color w:val="1E2833"/>
          <w:sz w:val="20"/>
          <w:szCs w:val="20"/>
        </w:rPr>
        <w:t xml:space="preserve"> where that is appropriate and safe.</w:t>
      </w:r>
    </w:p>
    <w:p>
      <w:pPr>
        <w:pStyle w:val="ListParagraph"/>
        <w:numPr>
          <w:ilvl w:val="0"/>
          <w:numId w:val="2"/>
        </w:numPr>
        <w:spacing w:after="60" w:line="264"/>
      </w:pPr>
      <w:r>
        <w:rPr>
          <w:rFonts w:ascii="Aptos" w:cs="Aptos" w:eastAsia="Aptos" w:hAnsi="Aptos"/>
          <w:b/>
          <w:bCs/>
          <w:color w:val="1E2833"/>
          <w:sz w:val="20"/>
          <w:szCs w:val="20"/>
        </w:rPr>
        <w:t xml:space="preserve">Procedural fairness:</w:t>
      </w:r>
      <w:r>
        <w:rPr>
          <w:rFonts w:ascii="Aptos" w:cs="Aptos" w:eastAsia="Aptos" w:hAnsi="Aptos"/>
          <w:color w:val="1E2833"/>
          <w:sz w:val="20"/>
          <w:szCs w:val="20"/>
        </w:rPr>
        <w:t xml:space="preserve"> everyone involved is told what is said about them and has a real chance to respond before any finding is made. Decision-makers are impartial and have not been involved in the matter.</w:t>
      </w:r>
    </w:p>
    <w:p>
      <w:pPr>
        <w:pStyle w:val="ListParagraph"/>
        <w:numPr>
          <w:ilvl w:val="0"/>
          <w:numId w:val="2"/>
        </w:numPr>
        <w:spacing w:after="60" w:line="264"/>
      </w:pPr>
      <w:r>
        <w:rPr>
          <w:rFonts w:ascii="Aptos" w:cs="Aptos" w:eastAsia="Aptos" w:hAnsi="Aptos"/>
          <w:b/>
          <w:bCs/>
          <w:color w:val="1E2833"/>
          <w:sz w:val="20"/>
          <w:szCs w:val="20"/>
        </w:rPr>
        <w:t xml:space="preserve">Confidentiality:</w:t>
      </w:r>
      <w:r>
        <w:rPr>
          <w:rFonts w:ascii="Aptos" w:cs="Aptos" w:eastAsia="Aptos" w:hAnsi="Aptos"/>
          <w:color w:val="1E2833"/>
          <w:sz w:val="20"/>
          <w:szCs w:val="20"/>
        </w:rPr>
        <w:t xml:space="preserve"> information is shared only with the people who need it to deal with the grievance (SRL-CR-018).</w:t>
      </w:r>
    </w:p>
    <w:p>
      <w:pPr>
        <w:pStyle w:val="ListParagraph"/>
        <w:numPr>
          <w:ilvl w:val="0"/>
          <w:numId w:val="2"/>
        </w:numPr>
        <w:spacing w:after="60" w:line="264"/>
      </w:pPr>
      <w:r>
        <w:rPr>
          <w:rFonts w:ascii="Aptos" w:cs="Aptos" w:eastAsia="Aptos" w:hAnsi="Aptos"/>
          <w:b/>
          <w:bCs/>
          <w:color w:val="1E2833"/>
          <w:sz w:val="20"/>
          <w:szCs w:val="20"/>
        </w:rPr>
        <w:t xml:space="preserve">Support person:</w:t>
      </w:r>
      <w:r>
        <w:rPr>
          <w:rFonts w:ascii="Aptos" w:cs="Aptos" w:eastAsia="Aptos" w:hAnsi="Aptos"/>
          <w:color w:val="1E2833"/>
          <w:sz w:val="20"/>
          <w:szCs w:val="20"/>
        </w:rPr>
        <w:t xml:space="preserve"> an employee may bring a support person to any meeting under this procedure. The support person may be a colleague, a union representative or another person who is not a lawyer acting in a professional capacity.</w:t>
      </w:r>
    </w:p>
    <w:p>
      <w:pPr>
        <w:pStyle w:val="ListParagraph"/>
        <w:numPr>
          <w:ilvl w:val="0"/>
          <w:numId w:val="2"/>
        </w:numPr>
        <w:spacing w:after="60" w:line="264"/>
      </w:pPr>
      <w:r>
        <w:rPr>
          <w:rFonts w:ascii="Aptos" w:cs="Aptos" w:eastAsia="Aptos" w:hAnsi="Aptos"/>
          <w:b/>
          <w:bCs/>
          <w:color w:val="1E2833"/>
          <w:sz w:val="20"/>
          <w:szCs w:val="20"/>
        </w:rPr>
        <w:t xml:space="preserve">No victimisation:</w:t>
      </w:r>
      <w:r>
        <w:rPr>
          <w:rFonts w:ascii="Aptos" w:cs="Aptos" w:eastAsia="Aptos" w:hAnsi="Aptos"/>
          <w:color w:val="1E2833"/>
          <w:sz w:val="20"/>
          <w:szCs w:val="20"/>
        </w:rPr>
        <w:t xml:space="preserve"> no one may be disadvantaged for raising a grievance in good faith or for helping with one. Victimisation is itself misconduct.</w:t>
      </w:r>
    </w:p>
    <w:p>
      <w:pPr>
        <w:pStyle w:val="ListParagraph"/>
        <w:numPr>
          <w:ilvl w:val="0"/>
          <w:numId w:val="2"/>
        </w:numPr>
        <w:spacing w:after="60" w:line="264"/>
      </w:pPr>
      <w:r>
        <w:rPr>
          <w:rFonts w:ascii="Aptos" w:cs="Aptos" w:eastAsia="Aptos" w:hAnsi="Aptos"/>
          <w:b/>
          <w:bCs/>
          <w:color w:val="1E2833"/>
          <w:sz w:val="20"/>
          <w:szCs w:val="20"/>
        </w:rPr>
        <w:t xml:space="preserve">Timeliness:</w:t>
      </w:r>
      <w:r>
        <w:rPr>
          <w:rFonts w:ascii="Aptos" w:cs="Aptos" w:eastAsia="Aptos" w:hAnsi="Aptos"/>
          <w:color w:val="1E2833"/>
          <w:sz w:val="20"/>
          <w:szCs w:val="20"/>
        </w:rPr>
        <w:t xml:space="preserve"> grievances are dealt with within the timeframes in Section 6, and people are told if a timeframe needs to change.</w:t>
      </w:r>
    </w:p>
    <w:p>
      <w:pPr>
        <w:pStyle w:val="ListParagraph"/>
        <w:numPr>
          <w:ilvl w:val="0"/>
          <w:numId w:val="2"/>
        </w:numPr>
        <w:spacing w:after="60" w:line="264"/>
      </w:pPr>
      <w:r>
        <w:rPr>
          <w:rFonts w:ascii="Aptos" w:cs="Aptos" w:eastAsia="Aptos" w:hAnsi="Aptos"/>
          <w:b/>
          <w:bCs/>
          <w:color w:val="1E2833"/>
          <w:sz w:val="20"/>
          <w:szCs w:val="20"/>
        </w:rPr>
        <w:t xml:space="preserve">Records:</w:t>
      </w:r>
      <w:r>
        <w:rPr>
          <w:rFonts w:ascii="Aptos" w:cs="Aptos" w:eastAsia="Aptos" w:hAnsi="Aptos"/>
          <w:color w:val="1E2833"/>
          <w:sz w:val="20"/>
          <w:szCs w:val="20"/>
        </w:rPr>
        <w:t xml:space="preserve"> each step is recorded factually (Section 11).</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Raising a grievance</w:t>
      </w:r>
    </w:p>
    <w:p>
      <w:pPr>
        <w:pStyle w:val="ListParagraph"/>
        <w:numPr>
          <w:ilvl w:val="0"/>
          <w:numId w:val="2"/>
        </w:numPr>
        <w:spacing w:after="60" w:line="264"/>
      </w:pPr>
      <w:r>
        <w:rPr>
          <w:rFonts w:ascii="Aptos" w:cs="Aptos" w:eastAsia="Aptos" w:hAnsi="Aptos"/>
          <w:color w:val="1E2833"/>
          <w:sz w:val="20"/>
          <w:szCs w:val="20"/>
        </w:rPr>
        <w:t xml:space="preserve">Raise it as soon as practicable, normally within 3 months of the event.</w:t>
      </w:r>
    </w:p>
    <w:p>
      <w:pPr>
        <w:pStyle w:val="ListParagraph"/>
        <w:numPr>
          <w:ilvl w:val="0"/>
          <w:numId w:val="2"/>
        </w:numPr>
        <w:spacing w:after="60" w:line="264"/>
      </w:pPr>
      <w:r>
        <w:rPr>
          <w:rFonts w:ascii="Aptos" w:cs="Aptos" w:eastAsia="Aptos" w:hAnsi="Aptos"/>
          <w:color w:val="1E2833"/>
          <w:sz w:val="20"/>
          <w:szCs w:val="20"/>
        </w:rPr>
        <w:t xml:space="preserve">Raise it first with your manager. If your grievance is about your manager, or you are not comfortable raising it with them, go to your manager's manager or the HR Business Partner for your site (SRL-CR-005).</w:t>
      </w:r>
    </w:p>
    <w:p>
      <w:pPr>
        <w:pStyle w:val="ListParagraph"/>
        <w:numPr>
          <w:ilvl w:val="0"/>
          <w:numId w:val="2"/>
        </w:numPr>
        <w:spacing w:after="60" w:line="264"/>
      </w:pPr>
      <w:r>
        <w:rPr>
          <w:rFonts w:ascii="Aptos" w:cs="Aptos" w:eastAsia="Aptos" w:hAnsi="Aptos"/>
          <w:color w:val="1E2833"/>
          <w:sz w:val="20"/>
          <w:szCs w:val="20"/>
        </w:rPr>
        <w:t xml:space="preserve">A formal grievance is made in writing, on the form in Appendix A or by email to the HR Business Partner. The HR Business Partner or your manager can help you write it down, and an interpreter can be arranged through People and Culture.</w:t>
      </w:r>
    </w:p>
    <w:p>
      <w:pPr>
        <w:pStyle w:val="ListParagraph"/>
        <w:numPr>
          <w:ilvl w:val="0"/>
          <w:numId w:val="2"/>
        </w:numPr>
        <w:spacing w:after="60" w:line="264"/>
      </w:pPr>
      <w:r>
        <w:rPr>
          <w:rFonts w:ascii="Aptos" w:cs="Aptos" w:eastAsia="Aptos" w:hAnsi="Aptos"/>
          <w:color w:val="1E2833"/>
          <w:sz w:val="20"/>
          <w:szCs w:val="20"/>
        </w:rPr>
        <w:t xml:space="preserve">If the grievance is about the Head of People and Culture or an executive, send it to the Chief Executive Officer. If it is about the Chief Executive Officer, send it to the Chair of the Board.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The steps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4700"/>
        <w:gridCol w:w="2200"/>
        <w:gridCol w:w="1252"/>
      </w:tblGrid>
      <w:tr>
        <w:trPr>
          <w:cantSplit/>
          <w:tblHeader/>
        </w:trPr>
        <w:tc>
          <w:tcPr>
            <w:tcW w:type="dxa" w:w="1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4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12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Timeframe</w:t>
            </w:r>
          </w:p>
        </w:tc>
      </w:tr>
      <w:tr>
        <w:trPr>
          <w:cantSplit/>
        </w:trPr>
        <w:tc>
          <w:tcPr>
            <w:tcW w:type="dxa" w:w="1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Informal resolution</w:t>
            </w:r>
          </w:p>
        </w:tc>
        <w:tc>
          <w:tcPr>
            <w:tcW w:type="dxa" w:w="4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manager listens, finds out what happened and what the employee wants, and tries to resolve the matter: for example a conversation between the people involved, a change to a decision, or a facilitated discussion. The manager makes a short note of the outcome and tells the HR Business Partner.</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Employee and manager; HR Business Partner may advise</w:t>
            </w:r>
          </w:p>
        </w:tc>
        <w:tc>
          <w:tcPr>
            <w:tcW w:type="dxa" w:w="1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5 business days of the grievance being raised</w:t>
            </w:r>
          </w:p>
        </w:tc>
      </w:tr>
      <w:tr>
        <w:trPr>
          <w:cantSplit/>
        </w:trPr>
        <w:tc>
          <w:tcPr>
            <w:tcW w:type="dxa" w:w="1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Formal grievance lodged</w:t>
            </w:r>
          </w:p>
        </w:tc>
        <w:tc>
          <w:tcPr>
            <w:tcW w:type="dxa" w:w="4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If the matter is not resolved, is serious, or informal resolution is not appropriate (for example sexual harassment, a complaint against the manager, or a repeated pattern), the employee lodges a formal grievance. The HR Business Partner acknowledges it in writing.</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Employee; HR Business Partner</w:t>
            </w:r>
          </w:p>
        </w:tc>
        <w:tc>
          <w:tcPr>
            <w:tcW w:type="dxa" w:w="12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Acknowledged within 2 business days</w:t>
            </w:r>
          </w:p>
        </w:tc>
      </w:tr>
      <w:tr>
        <w:trPr>
          <w:cantSplit/>
        </w:trPr>
        <w:tc>
          <w:tcPr>
            <w:tcW w:type="dxa" w:w="1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Assessment</w:t>
            </w:r>
          </w:p>
        </w:tc>
        <w:tc>
          <w:tcPr>
            <w:tcW w:type="dxa" w:w="4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HR Business Partner meets the employee, clarifies the grievance and the outcome sought, checks for any WHS issue (Section 3) and any risk to the people involved, and decides how to deal with it: facilitated discussion or mediation, a review of the decision, or an investigation. Interim measures are put in place where needed (Section 8.1).</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HR Business Partner, with the Head of People and Culture for serious matters</w:t>
            </w:r>
          </w:p>
        </w:tc>
        <w:tc>
          <w:tcPr>
            <w:tcW w:type="dxa" w:w="1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5 business days of acknowledgement</w:t>
            </w:r>
          </w:p>
        </w:tc>
      </w:tr>
      <w:tr>
        <w:trPr>
          <w:cantSplit/>
        </w:trPr>
        <w:tc>
          <w:tcPr>
            <w:tcW w:type="dxa" w:w="1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Resolution or investigation</w:t>
            </w:r>
          </w:p>
        </w:tc>
        <w:tc>
          <w:tcPr>
            <w:tcW w:type="dxa" w:w="4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agreed approach is carried out. In an investigation, the people involved are interviewed, the person complained about is told the allegations in enough detail to respond, and evidence is gathered. Findings are made on the balance of probabilities: substantiated, partly substantiated, not substantiated or unable to be determined.</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impartial HR Business Partner or an external investigator (Section 7)</w:t>
            </w:r>
          </w:p>
        </w:tc>
        <w:tc>
          <w:tcPr>
            <w:tcW w:type="dxa" w:w="12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Outcome within 20 business days of lodgement, or a written update with a new date</w:t>
            </w:r>
          </w:p>
        </w:tc>
      </w:tr>
      <w:tr>
        <w:trPr>
          <w:cantSplit/>
        </w:trPr>
        <w:tc>
          <w:tcPr>
            <w:tcW w:type="dxa" w:w="1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Outcome</w:t>
            </w:r>
          </w:p>
        </w:tc>
        <w:tc>
          <w:tcPr>
            <w:tcW w:type="dxa" w:w="4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employee and the person complained about are each told the outcome in writing, including the findings that relate to them and the actions SteelRiver will take, as far as privacy allows. Actions may include an apology, a changed decision, mediation, training, changes to rosters or reporting lines, or referral to SRL-CR-039 where misconduct is found.</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HR Business Partner and the relevant manager</w:t>
            </w:r>
          </w:p>
        </w:tc>
        <w:tc>
          <w:tcPr>
            <w:tcW w:type="dxa" w:w="1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5 business days of the findings</w:t>
            </w:r>
          </w:p>
        </w:tc>
      </w:tr>
      <w:tr>
        <w:trPr>
          <w:cantSplit/>
        </w:trPr>
        <w:tc>
          <w:tcPr>
            <w:tcW w:type="dxa" w:w="1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Review</w:t>
            </w:r>
          </w:p>
        </w:tc>
        <w:tc>
          <w:tcPr>
            <w:tcW w:type="dxa" w:w="4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Either party may ask for a review if they believe the process was unfair or the outcome is not supported by the evidence. The reviewer considers the record and any new information and confirms or changes the outcome. The review decision is final within SteelRiver.</w:t>
            </w:r>
          </w:p>
        </w:tc>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Head of People and Culture (Chief Executive Officer if the Head of People and Culture was involved)</w:t>
            </w:r>
          </w:p>
        </w:tc>
        <w:tc>
          <w:tcPr>
            <w:tcW w:type="dxa" w:w="12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Request within 10 business days of the outcome; decision within 15 business days</w:t>
            </w:r>
          </w:p>
        </w:tc>
      </w:tr>
      <w:tr>
        <w:trPr>
          <w:cantSplit/>
        </w:trPr>
        <w:tc>
          <w:tcPr>
            <w:tcW w:type="dxa" w:w="1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External options</w:t>
            </w:r>
          </w:p>
        </w:tc>
        <w:tc>
          <w:tcPr>
            <w:tcW w:type="dxa" w:w="4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If a dispute about the employee's award, agreement or employment rights remains unresolved, the dispute resolution term of the applicable modern award or enterprise agreement applies, including referral to the Fair Work Commission. Employees may also contact the Fair Work Ombudsman, the Equal Opportunity Commission of Western Australia (or the equivalent body in their state) or the Australian Human Rights Commission at any time.</w:t>
            </w: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Employee</w:t>
            </w:r>
          </w:p>
        </w:tc>
        <w:tc>
          <w:tcPr>
            <w:tcW w:type="dxa" w:w="12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any time</w:t>
            </w:r>
          </w:p>
        </w:tc>
      </w:tr>
    </w:tbl>
    <w:p>
      <w:pPr>
        <w:spacing w:before="120" w:after="120" w:line="276"/>
      </w:pPr>
      <w:r>
        <w:rPr>
          <w:rFonts w:ascii="Aptos" w:cs="Aptos" w:eastAsia="Aptos" w:hAnsi="Aptos"/>
          <w:color w:val="1E2833"/>
          <w:sz w:val="20"/>
          <w:szCs w:val="20"/>
        </w:rPr>
        <w:t xml:space="preserve">These steps do not stop an employee seeking external advice or using a legal right at any time.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Who deals with a grievance</w:t>
      </w:r>
    </w:p>
    <w:p>
      <w:pPr>
        <w:pStyle w:val="ListParagraph"/>
        <w:numPr>
          <w:ilvl w:val="0"/>
          <w:numId w:val="2"/>
        </w:numPr>
        <w:spacing w:after="60" w:line="264"/>
      </w:pPr>
      <w:r>
        <w:rPr>
          <w:rFonts w:ascii="Aptos" w:cs="Aptos" w:eastAsia="Aptos" w:hAnsi="Aptos"/>
          <w:color w:val="1E2833"/>
          <w:sz w:val="20"/>
          <w:szCs w:val="20"/>
        </w:rPr>
        <w:t xml:space="preserve">The HR Business Partner for the site normally manages formal grievances.</w:t>
      </w:r>
    </w:p>
    <w:p>
      <w:pPr>
        <w:pStyle w:val="ListParagraph"/>
        <w:numPr>
          <w:ilvl w:val="0"/>
          <w:numId w:val="2"/>
        </w:numPr>
        <w:spacing w:after="60" w:line="264"/>
      </w:pPr>
      <w:r>
        <w:rPr>
          <w:rFonts w:ascii="Aptos" w:cs="Aptos" w:eastAsia="Aptos" w:hAnsi="Aptos"/>
          <w:color w:val="1E2833"/>
          <w:sz w:val="20"/>
          <w:szCs w:val="20"/>
        </w:rPr>
        <w:t xml:space="preserve">A grievance is assessed and investigated by someone who has not been involved in the matter. Where the site HR Business Partner has been involved (for example in a performance improvement plan that the grievance is about), the Head of People and Culture assigns another HR Business Partner or an external investigator.</w:t>
      </w:r>
    </w:p>
    <w:p>
      <w:pPr>
        <w:pStyle w:val="ListParagraph"/>
        <w:numPr>
          <w:ilvl w:val="0"/>
          <w:numId w:val="2"/>
        </w:numPr>
        <w:spacing w:after="60" w:line="264"/>
      </w:pPr>
      <w:r>
        <w:rPr>
          <w:rFonts w:ascii="Aptos" w:cs="Aptos" w:eastAsia="Aptos" w:hAnsi="Aptos"/>
          <w:color w:val="1E2833"/>
          <w:sz w:val="20"/>
          <w:szCs w:val="20"/>
        </w:rPr>
        <w:t xml:space="preserve">An external investigator is used for serious allegations (for example sexual harassment, assault or a complaint against a senior manager) or where an impartial internal investigator is not available.</w:t>
      </w:r>
    </w:p>
    <w:p>
      <w:pPr>
        <w:pStyle w:val="ListParagraph"/>
        <w:numPr>
          <w:ilvl w:val="0"/>
          <w:numId w:val="2"/>
        </w:numPr>
        <w:spacing w:after="60" w:line="264"/>
      </w:pPr>
      <w:r>
        <w:rPr>
          <w:rFonts w:ascii="Aptos" w:cs="Aptos" w:eastAsia="Aptos" w:hAnsi="Aptos"/>
          <w:color w:val="1E2833"/>
          <w:sz w:val="20"/>
          <w:szCs w:val="20"/>
        </w:rPr>
        <w:t xml:space="preserve">The Workplace Relations Specialist advises on award, agreement and Fair Work matters. The Diversity and Inclusion lead advises where discrimination, disability or cultural matters are raised.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Protecting people while a grievance is dealt with</w:t>
      </w:r>
    </w:p>
    <w:p>
      <w:pPr>
        <w:keepNext/>
        <w:spacing w:before="200" w:after="80"/>
      </w:pPr>
      <w:r>
        <w:rPr>
          <w:rFonts w:ascii="Aptos Display" w:cs="Aptos Display" w:eastAsia="Aptos Display" w:hAnsi="Aptos Display"/>
          <w:b/>
          <w:bCs/>
          <w:color w:val="5E7C99"/>
          <w:sz w:val="24"/>
          <w:szCs w:val="24"/>
        </w:rPr>
        <w:t xml:space="preserve">8.1 Interim measures</w:t>
      </w:r>
    </w:p>
    <w:p>
      <w:pPr>
        <w:spacing w:before="0" w:after="120" w:line="276"/>
      </w:pPr>
      <w:r>
        <w:rPr>
          <w:rFonts w:ascii="Aptos" w:cs="Aptos" w:eastAsia="Aptos" w:hAnsi="Aptos"/>
          <w:color w:val="1E2833"/>
          <w:sz w:val="20"/>
          <w:szCs w:val="20"/>
        </w:rPr>
        <w:t xml:space="preserve">Where there is a risk to anyone's health or safety, or to a fair process, the HR Business Partner and the manager agree interim measures, such as changed shifts or reporting lines, or no unsupervised contact between the parties. Interim measures are not a finding and do not disadvantage the person who raised the grievance. The EAP (1800-SRL-EAP, 24 hours, 7 days) is offered to everyone involved.</w:t>
      </w:r>
    </w:p>
    <w:p>
      <w:pPr>
        <w:keepNext/>
        <w:spacing w:before="200" w:after="80"/>
      </w:pPr>
      <w:r>
        <w:rPr>
          <w:rFonts w:ascii="Aptos Display" w:cs="Aptos Display" w:eastAsia="Aptos Display" w:hAnsi="Aptos Display"/>
          <w:b/>
          <w:bCs/>
          <w:color w:val="5E7C99"/>
          <w:sz w:val="24"/>
          <w:szCs w:val="24"/>
        </w:rPr>
        <w:t xml:space="preserve">8.2 Bullying, harassment and psychosocial hazards</w:t>
      </w:r>
    </w:p>
    <w:p>
      <w:pPr>
        <w:spacing w:before="0" w:after="120" w:line="276"/>
      </w:pPr>
      <w:r>
        <w:rPr>
          <w:rFonts w:ascii="Aptos" w:cs="Aptos" w:eastAsia="Aptos" w:hAnsi="Aptos"/>
          <w:color w:val="1E2833"/>
          <w:sz w:val="20"/>
          <w:szCs w:val="20"/>
        </w:rPr>
        <w:t xml:space="preserve">Bullying and harassment are psychosocial hazards as well as grievances. When a grievance raises bullying, harassment, aggression or serious conflict, the HR Business Partner tells the WHS Coordinator so the hazard can be managed under SRL-CR-044 Psychosocial Hazard Management Procedure. Names are shared only with the worker's agreement or where needed to control a serious risk; otherwise the WHS Coordinator receives de-identified information.</w:t>
      </w:r>
    </w:p>
    <w:p>
      <w:pPr>
        <w:keepNext/>
        <w:spacing w:before="200" w:after="80"/>
      </w:pPr>
      <w:r>
        <w:rPr>
          <w:rFonts w:ascii="Aptos Display" w:cs="Aptos Display" w:eastAsia="Aptos Display" w:hAnsi="Aptos Display"/>
          <w:b/>
          <w:bCs/>
          <w:color w:val="5E7C99"/>
          <w:sz w:val="24"/>
          <w:szCs w:val="24"/>
        </w:rPr>
        <w:t xml:space="preserve">8.3 Performance processes</w:t>
      </w:r>
    </w:p>
    <w:p>
      <w:pPr>
        <w:spacing w:before="0" w:after="120" w:line="276"/>
      </w:pPr>
      <w:r>
        <w:rPr>
          <w:rFonts w:ascii="Aptos" w:cs="Aptos" w:eastAsia="Aptos" w:hAnsi="Aptos"/>
          <w:color w:val="1E2833"/>
          <w:sz w:val="20"/>
          <w:szCs w:val="20"/>
        </w:rPr>
        <w:t xml:space="preserve">If a grievance relates to a performance improvement plan or another formal performance step, that step is paused while the grievance is assessed and, where needed, investigated (SRL-CR-021 Section 6.7). During the pause there are no further PIP reviews or evidence gathering for the PIP. The pause is recorded in the SRL HR system, and the PIP resumes, with adjusted dates, only when the grievance is closed. Day-to-day supervision and support continue.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Grievances involving other businesses</w:t>
      </w:r>
    </w:p>
    <w:p>
      <w:pPr>
        <w:spacing w:before="0" w:after="120" w:line="276"/>
      </w:pPr>
      <w:r>
        <w:rPr>
          <w:rFonts w:ascii="Aptos" w:cs="Aptos" w:eastAsia="Aptos" w:hAnsi="Aptos"/>
          <w:color w:val="1E2833"/>
          <w:sz w:val="20"/>
          <w:szCs w:val="20"/>
        </w:rPr>
        <w:t xml:space="preserve">Where a grievance involves a worker of a contractor or labour hire provider, either as the person raising it or the person complained about, the HR Business Partner works with the SteelRiver contract owner and the other business's nominated contact. SteelRiver deals with the conduct of its own employees; the other business deals with the conduct of its workers. Both businesses share information only as needed and agree any interim measures at the site.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assigns investigators; conducts reviews (step 6); reports de-identified grievance numbers and themes to the Executive Committee each quarter.</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HR Business Partners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Advise managers and employees; manage formal grievances; keep records; tell the WHS Coordinator about psychosocial hazards (Section 8.2).</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Managers, supervisors and leads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Listen to and deal with grievances early; separate WHS issues and send them to SRL-CR-032; keep matters confidential; prevent victimisation.</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Takes WHS issues identified in a grievance through SRL-CR-032; manages related psychosocial hazards under SRL-CR-044.</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Employees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Raise grievances in good faith and as early as practicable; take part honestly; keep the matter confidential.</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Records and privacy</w:t>
      </w:r>
    </w:p>
    <w:p>
      <w:pPr>
        <w:spacing w:before="0" w:after="120" w:line="276"/>
      </w:pPr>
      <w:r>
        <w:rPr>
          <w:rFonts w:ascii="Aptos" w:cs="Aptos" w:eastAsia="Aptos" w:hAnsi="Aptos"/>
          <w:color w:val="1E2833"/>
          <w:sz w:val="20"/>
          <w:szCs w:val="20"/>
        </w:rPr>
        <w:t xml:space="preserve">Grievance records (the grievance, notes of meetings, evidence, findings, outcome and review) are held in the restricted grievance area of the SRL HR system, not on the personnel files of the people involved, except where an outcome such as a disciplinary step must be recorded there. They are personal information handled under SRL-CR-018 and kept for 7 years after the grievance is closed (SRL-CR-019). Grievance data reported outside People and Culture is de-identified.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Related documents</w:t>
      </w:r>
    </w:p>
    <w:p>
      <w:pPr>
        <w:pStyle w:val="ListParagraph"/>
        <w:numPr>
          <w:ilvl w:val="0"/>
          <w:numId w:val="2"/>
        </w:numPr>
        <w:spacing w:after="60" w:line="264"/>
      </w:pPr>
      <w:r>
        <w:rPr>
          <w:rFonts w:ascii="Aptos" w:cs="Aptos" w:eastAsia="Aptos" w:hAnsi="Aptos"/>
          <w:color w:val="1E2833"/>
          <w:sz w:val="20"/>
          <w:szCs w:val="20"/>
        </w:rPr>
        <w:t xml:space="preserve">SRL-CR-005 People and Culture Services Directory</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SRL-CR-019 Document Control and Records Management Policy</w:t>
      </w:r>
    </w:p>
    <w:p>
      <w:pPr>
        <w:pStyle w:val="ListParagraph"/>
        <w:numPr>
          <w:ilvl w:val="0"/>
          <w:numId w:val="2"/>
        </w:numPr>
        <w:spacing w:after="60" w:line="264"/>
      </w:pPr>
      <w:r>
        <w:rPr>
          <w:rFonts w:ascii="Aptos" w:cs="Aptos" w:eastAsia="Aptos" w:hAnsi="Aptos"/>
          <w:color w:val="1E2833"/>
          <w:sz w:val="20"/>
          <w:szCs w:val="20"/>
        </w:rPr>
        <w:t xml:space="preserve">SRL-CR-020 Code of Conduct; SRL-CR-023 Speak Up and Whistleblower Protection Policy</w:t>
      </w:r>
    </w:p>
    <w:p>
      <w:pPr>
        <w:pStyle w:val="ListParagraph"/>
        <w:numPr>
          <w:ilvl w:val="0"/>
          <w:numId w:val="2"/>
        </w:numPr>
        <w:spacing w:after="60" w:line="264"/>
      </w:pPr>
      <w:r>
        <w:rPr>
          <w:rFonts w:ascii="Aptos" w:cs="Aptos" w:eastAsia="Aptos" w:hAnsi="Aptos"/>
          <w:color w:val="1E2833"/>
          <w:sz w:val="20"/>
          <w:szCs w:val="20"/>
        </w:rPr>
        <w:t xml:space="preserve">SRL-CR-021 Performance Management Policy; SRL-CR-039 Termination and Disciplinary Procedure</w:t>
      </w:r>
    </w:p>
    <w:p>
      <w:pPr>
        <w:pStyle w:val="ListParagraph"/>
        <w:numPr>
          <w:ilvl w:val="0"/>
          <w:numId w:val="2"/>
        </w:numPr>
        <w:spacing w:after="60" w:line="264"/>
      </w:pPr>
      <w:r>
        <w:rPr>
          <w:rFonts w:ascii="Aptos" w:cs="Aptos" w:eastAsia="Aptos" w:hAnsi="Aptos"/>
          <w:color w:val="1E2833"/>
          <w:sz w:val="20"/>
          <w:szCs w:val="20"/>
        </w:rPr>
        <w:t xml:space="preserve">SRL-CR-032 WHS Issue Resolution Procedure; SRL-CR-068 WHS Issue Resolution Form</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 SRL-CR-053 Employee Assistance Program and Wellbeing Support Procedure</w:t>
      </w:r>
    </w:p>
    <w:p>
      <w:pPr>
        <w:pStyle w:val="ListParagraph"/>
        <w:numPr>
          <w:ilvl w:val="0"/>
          <w:numId w:val="2"/>
        </w:numPr>
        <w:spacing w:after="60" w:line="264"/>
      </w:pPr>
      <w:r>
        <w:rPr>
          <w:rFonts w:ascii="Aptos" w:cs="Aptos" w:eastAsia="Aptos" w:hAnsi="Aptos"/>
          <w:color w:val="1E2833"/>
          <w:sz w:val="20"/>
          <w:szCs w:val="20"/>
        </w:rPr>
        <w:t xml:space="preserve">Fair Work Act 2009 (Cth) and the applicable modern award or enterprise agreement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Appendix A. Formal grievance form</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F2A900"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13056"/>
                <w:sz w:val="22"/>
                <w:szCs w:val="22"/>
              </w:rPr>
              <w:t xml:space="preserve">1</w:t>
            </w:r>
          </w:p>
        </w:tc>
        <w:tc>
          <w:tcPr>
            <w:tcW w:type="dxa" w:w="9052"/>
            <w:tcBorders>
              <w:top w:val="none" w:color="FFFFFF" w:sz="0"/>
              <w:left w:val="none" w:color="FFFFFF" w:sz="0"/>
              <w:bottom w:val="none" w:color="FFFFFF" w:sz="0"/>
              <w:right w:val="none" w:color="FFFFFF" w:sz="0"/>
            </w:tcBorders>
            <w:shd w:fill="013056"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YOUR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Name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Role, site and shift</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Manager</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Best way to contact you</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Interpreter needed? (language)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F2A900"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13056"/>
                <w:sz w:val="22"/>
                <w:szCs w:val="22"/>
              </w:rPr>
              <w:t xml:space="preserve">2</w:t>
            </w:r>
          </w:p>
        </w:tc>
        <w:tc>
          <w:tcPr>
            <w:tcW w:type="dxa" w:w="9052"/>
            <w:tcBorders>
              <w:top w:val="none" w:color="FFFFFF" w:sz="0"/>
              <w:left w:val="none" w:color="FFFFFF" w:sz="0"/>
              <w:bottom w:val="none" w:color="FFFFFF" w:sz="0"/>
              <w:right w:val="none" w:color="FFFFFF" w:sz="0"/>
            </w:tcBorders>
            <w:shd w:fill="013056"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YOUR GRIEVANCE</w:t>
            </w:r>
          </w:p>
        </w:tc>
      </w:tr>
    </w:tbl>
    <w:p>
      <w:pPr>
        <w:spacing w:before="80" w:after="120" w:line="276"/>
      </w:pPr>
      <w:r>
        <w:rPr>
          <w:rFonts w:ascii="Aptos" w:cs="Aptos" w:eastAsia="Aptos" w:hAnsi="Aptos"/>
          <w:color w:val="1E2833"/>
          <w:sz w:val="20"/>
          <w:szCs w:val="20"/>
        </w:rPr>
        <w:t xml:space="preserve">What happened? Include dates, places and the people involved, and any steps already taken to resolve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2700" w:hRule="atLeast"/>
        </w:trPr>
        <w:tc>
          <w:tcPr>
            <w:tcW w:type="dxa" w:w="9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What outcome are you seeking?</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Does this involve a health or safety issue? (if yes, it will also go to SRL-CR-032)</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Support person (name, if known)</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Signature and date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F2A900"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13056"/>
                <w:sz w:val="22"/>
                <w:szCs w:val="22"/>
              </w:rPr>
              <w:t xml:space="preserve">3</w:t>
            </w:r>
          </w:p>
        </w:tc>
        <w:tc>
          <w:tcPr>
            <w:tcW w:type="dxa" w:w="9052"/>
            <w:tcBorders>
              <w:top w:val="none" w:color="FFFFFF" w:sz="0"/>
              <w:left w:val="none" w:color="FFFFFF" w:sz="0"/>
              <w:bottom w:val="none" w:color="FFFFFF" w:sz="0"/>
              <w:right w:val="none" w:color="FFFFFF" w:sz="0"/>
            </w:tcBorders>
            <w:shd w:fill="013056"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OFFICE USE</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Received by and date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Acknowledged on (within 2 business days)</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Approach (facilitated discussion, review of decision, investigation)</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issue referred to SRL-CR-032? (reference)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Outcome date and review requested?</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in the national document set. Boundary with SRL-CR-032 WHS Issue Resolution Procedure made explicit; pause of performance steps during a related grievance; link to psychosocial hazard management; review step and timeframes added.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2024</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SRL-CR-040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SRL-CR-040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SRL-CR-040  ·  Grievance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SRL-CR-040 Grievance Procedure</dc:title>
  <dc:creator>SteelRiver Logistics Pty Ltd</dc:creator>
  <cp:lastModifiedBy>Un-named</cp:lastModifiedBy>
  <cp:revision>1</cp:revision>
  <dcterms:created xsi:type="dcterms:W3CDTF">2026-10-28T08:26:11.397Z</dcterms:created>
  <dcterms:modified xsi:type="dcterms:W3CDTF">2026-10-28T08:26:11.397Z</dcterms:modified>
</cp:coreProperties>
</file>

<file path=docProps/custom.xml><?xml version="1.0" encoding="utf-8"?>
<Properties xmlns="http://schemas.openxmlformats.org/officeDocument/2006/custom-properties" xmlns:vt="http://schemas.openxmlformats.org/officeDocument/2006/docPropsVTypes"/>
</file>