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SRL-CR-042</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Mobile Plant (Forklift and MHE) Operations Safe Operating Procedure</w:t>
      </w:r>
    </w:p>
    <w:p>
      <w:pPr>
        <w:spacing w:before="0" w:after="160" w:line="276"/>
      </w:pPr>
      <w:r>
        <w:rPr>
          <w:rFonts w:ascii="Aptos" w:cs="Aptos" w:eastAsia="Aptos" w:hAnsi="Aptos"/>
          <w:color w:val="5E7C99"/>
          <w:sz w:val="24"/>
          <w:szCs w:val="24"/>
        </w:rPr>
        <w:t xml:space="preserve">How forklifts, reach trucks and other materials handling equipment are operated safely, with the site rules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SRL-CR-042</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17 November 2025</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November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safe operating procedure sets out how SteelRiver Logistics Pty Ltd (SteelRiver) workers operate forklifts and other materials handling equipment (MHE) safely, and the site rules every operator and pedestrian must follow where mobile plant works. It is the procedure operators are trained and assessed against.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at every SteelRiver site to anyone who operates, supervises or works near:</w:t>
      </w:r>
    </w:p>
    <w:p>
      <w:pPr>
        <w:pStyle w:val="ListParagraph"/>
        <w:numPr>
          <w:ilvl w:val="0"/>
          <w:numId w:val="2"/>
        </w:numPr>
        <w:spacing w:after="60" w:line="264"/>
      </w:pPr>
      <w:r>
        <w:rPr>
          <w:rFonts w:ascii="Aptos" w:cs="Aptos" w:eastAsia="Aptos" w:hAnsi="Aptos"/>
          <w:color w:val="1E2833"/>
          <w:sz w:val="20"/>
          <w:szCs w:val="20"/>
        </w:rPr>
        <w:t xml:space="preserve">counterbalance forklifts (LPG and electric) and reach trucks</w:t>
      </w:r>
    </w:p>
    <w:p>
      <w:pPr>
        <w:pStyle w:val="ListParagraph"/>
        <w:numPr>
          <w:ilvl w:val="0"/>
          <w:numId w:val="2"/>
        </w:numPr>
        <w:spacing w:after="60" w:line="264"/>
      </w:pPr>
      <w:r>
        <w:rPr>
          <w:rFonts w:ascii="Aptos" w:cs="Aptos" w:eastAsia="Aptos" w:hAnsi="Aptos"/>
          <w:color w:val="1E2833"/>
          <w:sz w:val="20"/>
          <w:szCs w:val="20"/>
        </w:rPr>
        <w:t xml:space="preserve">electric pallet jacks and walkie stackers</w:t>
      </w:r>
    </w:p>
    <w:p>
      <w:pPr>
        <w:pStyle w:val="ListParagraph"/>
        <w:numPr>
          <w:ilvl w:val="0"/>
          <w:numId w:val="2"/>
        </w:numPr>
        <w:spacing w:after="60" w:line="264"/>
      </w:pPr>
      <w:r>
        <w:rPr>
          <w:rFonts w:ascii="Aptos" w:cs="Aptos" w:eastAsia="Aptos" w:hAnsi="Aptos"/>
          <w:color w:val="1E2833"/>
          <w:sz w:val="20"/>
          <w:szCs w:val="20"/>
        </w:rPr>
        <w:t xml:space="preserve">the ride-on sweeper</w:t>
      </w:r>
    </w:p>
    <w:p>
      <w:pPr>
        <w:pStyle w:val="ListParagraph"/>
        <w:numPr>
          <w:ilvl w:val="0"/>
          <w:numId w:val="2"/>
        </w:numPr>
        <w:spacing w:after="60" w:line="264"/>
      </w:pPr>
      <w:r>
        <w:rPr>
          <w:rFonts w:ascii="Aptos" w:cs="Aptos" w:eastAsia="Aptos" w:hAnsi="Aptos"/>
          <w:color w:val="1E2833"/>
          <w:sz w:val="20"/>
          <w:szCs w:val="20"/>
        </w:rPr>
        <w:t xml:space="preserve">contractor mobile plant brought onto a SteelRiver site.</w:t>
      </w:r>
    </w:p>
    <w:p>
      <w:pPr>
        <w:spacing w:before="0" w:after="120" w:line="276"/>
      </w:pPr>
      <w:r>
        <w:rPr>
          <w:rFonts w:ascii="Aptos" w:cs="Aptos" w:eastAsia="Aptos" w:hAnsi="Aptos"/>
          <w:color w:val="1E2833"/>
          <w:sz w:val="20"/>
          <w:szCs w:val="20"/>
        </w:rPr>
        <w:t xml:space="preserve">Traffic routes, walkways, crossings, exclusion zones and zone rules for the Perth DC are in SRL-CR-043 Traffic Management Procedure and Plan, Perth DC. Pre-start checks are in SRL-CR-049. Licences and competency are in SRL-CR-047.</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Legal and other requirements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452"/>
      </w:tblGrid>
      <w:tr>
        <w:trPr>
          <w:cantSplit/>
          <w:tblHeader/>
        </w:trPr>
        <w:tc>
          <w:tcPr>
            <w:tcW w:type="dxa" w:w="3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64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 for mobile plant</w:t>
            </w:r>
          </w:p>
        </w:tc>
      </w:tr>
      <w:tr>
        <w:trPr>
          <w:cantSplit/>
        </w:trPr>
        <w:tc>
          <w:tcPr>
            <w:tcW w:type="dxa" w:w="33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 Health and Safety Act 2020 (WA), s.19 and s.21</w:t>
            </w:r>
          </w:p>
        </w:tc>
        <w:tc>
          <w:tcPr>
            <w:tcW w:type="dxa" w:w="6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must ensure, so far as is reasonably practicable, safe plant, safe systems of work and the safe use of plant, and that plant it manages or controls is without risks to health and safety.</w:t>
            </w:r>
          </w:p>
        </w:tc>
      </w:tr>
      <w:tr>
        <w:trPr>
          <w:cantSplit/>
        </w:trPr>
        <w:tc>
          <w:tcPr>
            <w:tcW w:type="dxa" w:w="33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Act s.28</w:t>
            </w:r>
          </w:p>
        </w:tc>
        <w:tc>
          <w:tcPr>
            <w:tcW w:type="dxa" w:w="6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Workers must take reasonable care and follow reasonable instructions, including the site rules in this procedure.</w:t>
            </w:r>
          </w:p>
        </w:tc>
      </w:tr>
      <w:tr>
        <w:trPr>
          <w:cantSplit/>
        </w:trPr>
        <w:tc>
          <w:tcPr>
            <w:tcW w:type="dxa" w:w="33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 Health and Safety (General) Regulations 2022 (WA), Part 3.1 and Chapter 5</w:t>
            </w:r>
          </w:p>
        </w:tc>
        <w:tc>
          <w:tcPr>
            <w:tcW w:type="dxa" w:w="6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Identify hazards, control risks using the hierarchy of control (reg 36) and review controls (reg 38). Manage the risks of powered mobile plant, including the risk of it colliding with pedestrians or other plant.</w:t>
            </w:r>
          </w:p>
        </w:tc>
      </w:tr>
      <w:tr>
        <w:trPr>
          <w:cantSplit/>
        </w:trPr>
        <w:tc>
          <w:tcPr>
            <w:tcW w:type="dxa" w:w="33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Regulations, Chapter 4</w:t>
            </w:r>
          </w:p>
        </w:tc>
        <w:tc>
          <w:tcPr>
            <w:tcW w:type="dxa" w:w="6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Forklift operators hold a high risk work licence (LF, or LO for order-picking forklifts). Forklifts are not registrable plant.</w:t>
            </w:r>
          </w:p>
        </w:tc>
      </w:tr>
      <w:tr>
        <w:trPr>
          <w:cantSplit/>
        </w:trPr>
        <w:tc>
          <w:tcPr>
            <w:tcW w:type="dxa" w:w="33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Regulations, reg 39</w:t>
            </w:r>
          </w:p>
        </w:tc>
        <w:tc>
          <w:tcPr>
            <w:tcW w:type="dxa" w:w="6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Information, training and instruction suited to the work and provided in a way the worker can readily understand.</w:t>
            </w:r>
          </w:p>
        </w:tc>
      </w:tr>
      <w:tr>
        <w:trPr>
          <w:cantSplit/>
        </w:trPr>
        <w:tc>
          <w:tcPr>
            <w:tcW w:type="dxa" w:w="33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WorkSafe WA code of practice</w:t>
            </w:r>
          </w:p>
        </w:tc>
        <w:tc>
          <w:tcPr>
            <w:tcW w:type="dxa" w:w="6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Managing the risks of plant in the workplace.</w:t>
            </w:r>
          </w:p>
        </w:tc>
      </w:tr>
      <w:tr>
        <w:trPr>
          <w:cantSplit/>
        </w:trPr>
        <w:tc>
          <w:tcPr>
            <w:tcW w:type="dxa" w:w="33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Guidance and standards</w:t>
            </w:r>
          </w:p>
        </w:tc>
        <w:tc>
          <w:tcPr>
            <w:tcW w:type="dxa" w:w="6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Safe Work Australia, General guide for workplace traffic management. AS 2359 Powered industrial trucks. Manufacturer operator manuals for each item of plant.</w:t>
            </w:r>
          </w:p>
        </w:tc>
      </w:tr>
      <w:tr>
        <w:trPr>
          <w:cantSplit/>
        </w:trPr>
        <w:tc>
          <w:tcPr>
            <w:tcW w:type="dxa" w:w="33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AS/NZS ISO 45001:2018</w:t>
            </w:r>
          </w:p>
        </w:tc>
        <w:tc>
          <w:tcPr>
            <w:tcW w:type="dxa" w:w="6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Clause 8.1 operational planning and control.</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7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MHE</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Materials handling equipment: electric pallet jacks, walkie stackers and similar equipment that does not need a high risk work licence.</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Mobile plant</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Forklifts, reach trucks, MHE, the ride-on sweeper and contractor plant that moves under its own power.</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Operator</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worker authorised under section 6 to operate a particular type of mobile plant.</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Pick aisle</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 aisle with pick faces where pickers work on foot, including aisles where forklifts or reach trucks also replenish the pick faces.</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Pedestrian</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Anyone on foot, including pickers, checkers, supervisors, drivers out of their cab, contractors and visitors.</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Spotter</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worker trained in the spotter role who keeps pedestrians clear and guides the operator by agreed hand signals. The spotter stands where the operator can see them and does nothing else while spotting.</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Replenishment</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Lifting or lowering stock to or from a pick face or racking location to refill it.</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VOC</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Verification of competency: an assessment by an approved assessor that an operator can operate a type of plant safely (SRL-CR-047).</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7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procedure. Makes sure it reflects the law, the manufacturer information and lessons from incidents.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Makes sure the site has the plant, maintenance, training and supervision needed to follow this procedure.</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Manager</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Allocates only authorised operators to plant. Plans work, volumes and rosters so the rules can be followed, including spotters where they are needed. Owns the site traffic plan (SRL-CR-043).</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Verifies high risk work licences and keeps SRL-CR-093 current (SRL-CR-047). Reviews mobile plant hazards, near misses and incidents in MyOSH and reports trends to the site WHS Committee.</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Check that operators on their shift are authorised and have completed the pre-start check. Roster and brief spotters. Enforce the site rules. Tag out unsafe plant. Stop unsafe work.</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Operators</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Hold the licence or training required. Complete the pre-start check. Follow this procedure, the site rules and the manufacturer's instructions. Report defects, hazards and near misses.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All workers</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Follow the pedestrian rules in section 8, use walkways and crossings, and report hazards and near misses. Any worker may stop work they believe is unsafe.</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Contractors</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Operate their plant under this procedure, SRL-CR-043 section 8 and SRL-CR-034.</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Before you operate</w:t>
      </w:r>
    </w:p>
    <w:p>
      <w:pPr>
        <w:pStyle w:val="ListParagraph"/>
        <w:numPr>
          <w:ilvl w:val="0"/>
          <w:numId w:val="3"/>
        </w:numPr>
        <w:spacing w:after="60" w:line="264"/>
      </w:pPr>
      <w:r>
        <w:rPr>
          <w:rFonts w:ascii="Aptos" w:cs="Aptos" w:eastAsia="Aptos" w:hAnsi="Aptos"/>
          <w:b/>
          <w:bCs/>
          <w:color w:val="1E2833"/>
          <w:sz w:val="20"/>
          <w:szCs w:val="20"/>
        </w:rPr>
        <w:t xml:space="preserve">Authorisation.</w:t>
      </w:r>
      <w:r>
        <w:rPr>
          <w:rFonts w:ascii="Aptos" w:cs="Aptos" w:eastAsia="Aptos" w:hAnsi="Aptos"/>
          <w:color w:val="1E2833"/>
          <w:sz w:val="20"/>
          <w:szCs w:val="20"/>
        </w:rPr>
        <w:t xml:space="preserve"> Operate only plant you are authorised for. Forklifts and reach trucks need an LF high risk work licence verified by the WHS Coordinator and recorded on SRL-CR-093, plant familiarisation for that type of plant and a current VOC (SRL-CR-047). Pallet jacks, walkie stackers and the sweeper need SteelRiver task training and a competency sign-off.</w:t>
      </w:r>
    </w:p>
    <w:p>
      <w:pPr>
        <w:pStyle w:val="ListParagraph"/>
        <w:numPr>
          <w:ilvl w:val="0"/>
          <w:numId w:val="3"/>
        </w:numPr>
        <w:spacing w:after="60" w:line="264"/>
      </w:pPr>
      <w:r>
        <w:rPr>
          <w:rFonts w:ascii="Aptos" w:cs="Aptos" w:eastAsia="Aptos" w:hAnsi="Aptos"/>
          <w:b/>
          <w:bCs/>
          <w:color w:val="1E2833"/>
          <w:sz w:val="20"/>
          <w:szCs w:val="20"/>
        </w:rPr>
        <w:t xml:space="preserve">Fitness for work.</w:t>
      </w:r>
      <w:r>
        <w:rPr>
          <w:rFonts w:ascii="Aptos" w:cs="Aptos" w:eastAsia="Aptos" w:hAnsi="Aptos"/>
          <w:color w:val="1E2833"/>
          <w:sz w:val="20"/>
          <w:szCs w:val="20"/>
        </w:rPr>
        <w:t xml:space="preserve"> Do not operate plant if you are affected by alcohol, drugs, medication, fatigue or illness (SRL-CR-024, SRL-CR-045). Tell your supervisor.</w:t>
      </w:r>
    </w:p>
    <w:p>
      <w:pPr>
        <w:pStyle w:val="ListParagraph"/>
        <w:numPr>
          <w:ilvl w:val="0"/>
          <w:numId w:val="3"/>
        </w:numPr>
        <w:spacing w:after="60" w:line="264"/>
      </w:pPr>
      <w:r>
        <w:rPr>
          <w:rFonts w:ascii="Aptos" w:cs="Aptos" w:eastAsia="Aptos" w:hAnsi="Aptos"/>
          <w:b/>
          <w:bCs/>
          <w:color w:val="1E2833"/>
          <w:sz w:val="20"/>
          <w:szCs w:val="20"/>
        </w:rPr>
        <w:t xml:space="preserve">Pre-start check.</w:t>
      </w:r>
      <w:r>
        <w:rPr>
          <w:rFonts w:ascii="Aptos" w:cs="Aptos" w:eastAsia="Aptos" w:hAnsi="Aptos"/>
          <w:color w:val="1E2833"/>
          <w:sz w:val="20"/>
          <w:szCs w:val="20"/>
        </w:rPr>
        <w:t xml:space="preserve"> At the start of each shift, before first use, complete the pre-start check on SRL-CR-075 under SRL-CR-049. Do not operate plant with a critical defect; tag it out and tell your supervisor.</w:t>
      </w:r>
    </w:p>
    <w:p>
      <w:pPr>
        <w:pStyle w:val="ListParagraph"/>
        <w:numPr>
          <w:ilvl w:val="0"/>
          <w:numId w:val="3"/>
        </w:numPr>
        <w:spacing w:after="60" w:line="264"/>
      </w:pPr>
      <w:r>
        <w:rPr>
          <w:rFonts w:ascii="Aptos" w:cs="Aptos" w:eastAsia="Aptos" w:hAnsi="Aptos"/>
          <w:b/>
          <w:bCs/>
          <w:color w:val="1E2833"/>
          <w:sz w:val="20"/>
          <w:szCs w:val="20"/>
        </w:rPr>
        <w:t xml:space="preserve">PPE.</w:t>
      </w:r>
      <w:r>
        <w:rPr>
          <w:rFonts w:ascii="Aptos" w:cs="Aptos" w:eastAsia="Aptos" w:hAnsi="Aptos"/>
          <w:color w:val="1E2833"/>
          <w:sz w:val="20"/>
          <w:szCs w:val="20"/>
        </w:rPr>
        <w:t xml:space="preserve"> Wear high visibility clothing and safety footwear, and wear the seatbelt where one is fitted (SRL-CR-046).</w:t>
      </w:r>
    </w:p>
    <w:p>
      <w:pPr>
        <w:pStyle w:val="ListParagraph"/>
        <w:numPr>
          <w:ilvl w:val="0"/>
          <w:numId w:val="3"/>
        </w:numPr>
        <w:spacing w:after="60" w:line="264"/>
      </w:pPr>
      <w:r>
        <w:rPr>
          <w:rFonts w:ascii="Aptos" w:cs="Aptos" w:eastAsia="Aptos" w:hAnsi="Aptos"/>
          <w:b/>
          <w:bCs/>
          <w:color w:val="1E2833"/>
          <w:sz w:val="20"/>
          <w:szCs w:val="20"/>
        </w:rPr>
        <w:t xml:space="preserve">Know the area.</w:t>
      </w:r>
      <w:r>
        <w:rPr>
          <w:rFonts w:ascii="Aptos" w:cs="Aptos" w:eastAsia="Aptos" w:hAnsi="Aptos"/>
          <w:color w:val="1E2833"/>
          <w:sz w:val="20"/>
          <w:szCs w:val="20"/>
        </w:rPr>
        <w:t xml:space="preserve"> Check the traffic plan (SRL-CR-043) for the area you will work in, including any zone speed limit or zone rules, and any work area access request or exclusion zone in place that shift.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Site rules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FFF6DB"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Site rules for all mobile plant</w:t>
            </w:r>
          </w:p>
          <w:p>
            <w:pPr>
              <w:pStyle w:val="ListParagraph"/>
              <w:numPr>
                <w:ilvl w:val="0"/>
                <w:numId w:val="2"/>
              </w:numPr>
              <w:spacing w:after="60" w:line="264"/>
            </w:pPr>
            <w:r>
              <w:rPr>
                <w:rFonts w:ascii="Aptos" w:cs="Aptos" w:eastAsia="Aptos" w:hAnsi="Aptos"/>
                <w:color w:val="1E2833"/>
                <w:sz w:val="20"/>
                <w:szCs w:val="20"/>
              </w:rPr>
              <w:t xml:space="preserve">Indoor speed limit </w:t>
            </w:r>
            <w:r>
              <w:rPr>
                <w:rFonts w:ascii="Aptos" w:cs="Aptos" w:eastAsia="Aptos" w:hAnsi="Aptos"/>
                <w:b/>
                <w:bCs/>
                <w:color w:val="1E2833"/>
                <w:sz w:val="20"/>
                <w:szCs w:val="20"/>
              </w:rPr>
              <w:t xml:space="preserve">10 km/h</w:t>
            </w:r>
            <w:r>
              <w:rPr>
                <w:rFonts w:ascii="Aptos" w:cs="Aptos" w:eastAsia="Aptos" w:hAnsi="Aptos"/>
                <w:color w:val="1E2833"/>
                <w:sz w:val="20"/>
                <w:szCs w:val="20"/>
              </w:rPr>
              <w:t xml:space="preserve">. Lower zone limits set in the traffic plan apply in those zones.</w:t>
            </w:r>
          </w:p>
          <w:p>
            <w:pPr>
              <w:pStyle w:val="ListParagraph"/>
              <w:numPr>
                <w:ilvl w:val="0"/>
                <w:numId w:val="2"/>
              </w:numPr>
              <w:spacing w:after="60" w:line="264"/>
            </w:pPr>
            <w:r>
              <w:rPr>
                <w:rFonts w:ascii="Aptos" w:cs="Aptos" w:eastAsia="Aptos" w:hAnsi="Aptos"/>
                <w:color w:val="1E2833"/>
                <w:sz w:val="20"/>
                <w:szCs w:val="20"/>
              </w:rPr>
              <w:t xml:space="preserve">Rotating beacon on whenever plant is moving.</w:t>
            </w:r>
          </w:p>
          <w:p>
            <w:pPr>
              <w:pStyle w:val="ListParagraph"/>
              <w:numPr>
                <w:ilvl w:val="0"/>
                <w:numId w:val="2"/>
              </w:numPr>
              <w:spacing w:after="60" w:line="264"/>
            </w:pPr>
            <w:r>
              <w:rPr>
                <w:rFonts w:ascii="Aptos" w:cs="Aptos" w:eastAsia="Aptos" w:hAnsi="Aptos"/>
                <w:color w:val="1E2833"/>
                <w:sz w:val="20"/>
                <w:szCs w:val="20"/>
              </w:rPr>
              <w:t xml:space="preserve">Forks lowered when travelling.</w:t>
            </w:r>
          </w:p>
          <w:p>
            <w:pPr>
              <w:pStyle w:val="ListParagraph"/>
              <w:numPr>
                <w:ilvl w:val="0"/>
                <w:numId w:val="2"/>
              </w:numPr>
              <w:spacing w:after="60" w:line="264"/>
            </w:pPr>
            <w:r>
              <w:rPr>
                <w:rFonts w:ascii="Aptos" w:cs="Aptos" w:eastAsia="Aptos" w:hAnsi="Aptos"/>
                <w:color w:val="1E2833"/>
                <w:sz w:val="20"/>
                <w:szCs w:val="20"/>
              </w:rPr>
              <w:t xml:space="preserve">A spotter is required for reversing in pick aisles.</w:t>
            </w:r>
          </w:p>
          <w:p>
            <w:pPr>
              <w:pStyle w:val="ListParagraph"/>
              <w:numPr>
                <w:ilvl w:val="0"/>
                <w:numId w:val="2"/>
              </w:numPr>
              <w:spacing w:after="60" w:line="264"/>
            </w:pPr>
            <w:r>
              <w:rPr>
                <w:rFonts w:ascii="Aptos" w:cs="Aptos" w:eastAsia="Aptos" w:hAnsi="Aptos"/>
                <w:color w:val="1E2833"/>
                <w:sz w:val="20"/>
                <w:szCs w:val="20"/>
              </w:rPr>
              <w:t xml:space="preserve">No parking of loaded forklifts in pedestrian walkways.</w:t>
            </w:r>
          </w:p>
          <w:p>
            <w:pPr>
              <w:spacing w:before="0" w:after="60" w:line="276"/>
            </w:pPr>
            <w:r>
              <w:rPr>
                <w:rFonts w:ascii="Aptos" w:cs="Aptos" w:eastAsia="Aptos" w:hAnsi="Aptos"/>
                <w:color w:val="1E2833"/>
                <w:sz w:val="20"/>
                <w:szCs w:val="20"/>
              </w:rPr>
              <w:t xml:space="preserve">Zone rules in the traffic plan appendices of SRL-CR-043 apply in addition to these site rules. They do not replace them.</w:t>
            </w:r>
          </w:p>
        </w:tc>
      </w:tr>
    </w:tbl>
    <w:p>
      <w:pPr>
        <w:keepNext/>
        <w:spacing w:before="200" w:after="80"/>
      </w:pPr>
      <w:r>
        <w:rPr>
          <w:rFonts w:ascii="Aptos Display" w:cs="Aptos Display" w:eastAsia="Aptos Display" w:hAnsi="Aptos Display"/>
          <w:b/>
          <w:bCs/>
          <w:color w:val="5E7C99"/>
          <w:sz w:val="24"/>
          <w:szCs w:val="24"/>
        </w:rPr>
        <w:t xml:space="preserve">7.1 Travelling</w:t>
      </w:r>
    </w:p>
    <w:p>
      <w:pPr>
        <w:pStyle w:val="ListParagraph"/>
        <w:numPr>
          <w:ilvl w:val="0"/>
          <w:numId w:val="2"/>
        </w:numPr>
        <w:spacing w:after="60" w:line="264"/>
      </w:pPr>
      <w:r>
        <w:rPr>
          <w:rFonts w:ascii="Aptos" w:cs="Aptos" w:eastAsia="Aptos" w:hAnsi="Aptos"/>
          <w:color w:val="1E2833"/>
          <w:sz w:val="20"/>
          <w:szCs w:val="20"/>
        </w:rPr>
        <w:t xml:space="preserve">Keep to the plant routes in the traffic plan. Do not drive along walkways.</w:t>
      </w:r>
    </w:p>
    <w:p>
      <w:pPr>
        <w:pStyle w:val="ListParagraph"/>
        <w:numPr>
          <w:ilvl w:val="0"/>
          <w:numId w:val="2"/>
        </w:numPr>
        <w:spacing w:after="60" w:line="264"/>
      </w:pPr>
      <w:r>
        <w:rPr>
          <w:rFonts w:ascii="Aptos" w:cs="Aptos" w:eastAsia="Aptos" w:hAnsi="Aptos"/>
          <w:color w:val="1E2833"/>
          <w:sz w:val="20"/>
          <w:szCs w:val="20"/>
        </w:rPr>
        <w:t xml:space="preserve">Slow to walking pace at blind corners, aisle ends, doorways, dock doors and anywhere pedestrians are close. Sound the horn at blind corners, aisle ends and dock doors, and before passing through strip curtains.</w:t>
      </w:r>
    </w:p>
    <w:p>
      <w:pPr>
        <w:pStyle w:val="ListParagraph"/>
        <w:numPr>
          <w:ilvl w:val="0"/>
          <w:numId w:val="2"/>
        </w:numPr>
        <w:spacing w:after="60" w:line="264"/>
      </w:pPr>
      <w:r>
        <w:rPr>
          <w:rFonts w:ascii="Aptos" w:cs="Aptos" w:eastAsia="Aptos" w:hAnsi="Aptos"/>
          <w:color w:val="1E2833"/>
          <w:sz w:val="20"/>
          <w:szCs w:val="20"/>
        </w:rPr>
        <w:t xml:space="preserve">Give way to pedestrians on walkways and crossings.</w:t>
      </w:r>
    </w:p>
    <w:p>
      <w:pPr>
        <w:pStyle w:val="ListParagraph"/>
        <w:numPr>
          <w:ilvl w:val="0"/>
          <w:numId w:val="2"/>
        </w:numPr>
        <w:spacing w:after="60" w:line="264"/>
      </w:pPr>
      <w:r>
        <w:rPr>
          <w:rFonts w:ascii="Aptos" w:cs="Aptos" w:eastAsia="Aptos" w:hAnsi="Aptos"/>
          <w:color w:val="1E2833"/>
          <w:sz w:val="20"/>
          <w:szCs w:val="20"/>
        </w:rPr>
        <w:t xml:space="preserve">Carry loads low (forks about 150 mm above the floor) and tilted back. Never travel with a raised load.</w:t>
      </w:r>
    </w:p>
    <w:p>
      <w:pPr>
        <w:pStyle w:val="ListParagraph"/>
        <w:numPr>
          <w:ilvl w:val="0"/>
          <w:numId w:val="2"/>
        </w:numPr>
        <w:spacing w:after="60" w:line="264"/>
      </w:pPr>
      <w:r>
        <w:rPr>
          <w:rFonts w:ascii="Aptos" w:cs="Aptos" w:eastAsia="Aptos" w:hAnsi="Aptos"/>
          <w:color w:val="1E2833"/>
          <w:sz w:val="20"/>
          <w:szCs w:val="20"/>
        </w:rPr>
        <w:t xml:space="preserve">Keep a safe distance from other plant. No overtaking at intersections, blind corners or aisle ends.</w:t>
      </w:r>
    </w:p>
    <w:p>
      <w:pPr>
        <w:pStyle w:val="ListParagraph"/>
        <w:numPr>
          <w:ilvl w:val="0"/>
          <w:numId w:val="2"/>
        </w:numPr>
        <w:spacing w:after="60" w:line="264"/>
      </w:pPr>
      <w:r>
        <w:rPr>
          <w:rFonts w:ascii="Aptos" w:cs="Aptos" w:eastAsia="Aptos" w:hAnsi="Aptos"/>
          <w:color w:val="1E2833"/>
          <w:sz w:val="20"/>
          <w:szCs w:val="20"/>
        </w:rPr>
        <w:t xml:space="preserve">Keep all parts of your body inside the operator compartment. No passengers.</w:t>
      </w:r>
    </w:p>
    <w:p>
      <w:pPr>
        <w:keepNext/>
        <w:spacing w:before="200" w:after="80"/>
      </w:pPr>
      <w:r>
        <w:rPr>
          <w:rFonts w:ascii="Aptos Display" w:cs="Aptos Display" w:eastAsia="Aptos Display" w:hAnsi="Aptos Display"/>
          <w:b/>
          <w:bCs/>
          <w:color w:val="5E7C99"/>
          <w:sz w:val="24"/>
          <w:szCs w:val="24"/>
        </w:rPr>
        <w:t xml:space="preserve">7.2 Forward entry and reversing</w:t>
      </w:r>
    </w:p>
    <w:p>
      <w:pPr>
        <w:pStyle w:val="ListParagraph"/>
        <w:numPr>
          <w:ilvl w:val="0"/>
          <w:numId w:val="2"/>
        </w:numPr>
        <w:spacing w:after="60" w:line="264"/>
      </w:pPr>
      <w:r>
        <w:rPr>
          <w:rFonts w:ascii="Aptos" w:cs="Aptos" w:eastAsia="Aptos" w:hAnsi="Aptos"/>
          <w:color w:val="1E2833"/>
          <w:sz w:val="20"/>
          <w:szCs w:val="20"/>
        </w:rPr>
        <w:t xml:space="preserve">Enter aisles and approach pick faces and racking forwards wherever possible, and plan your route so that reversing is kept to a minimum.</w:t>
      </w:r>
    </w:p>
    <w:p>
      <w:pPr>
        <w:pStyle w:val="ListParagraph"/>
        <w:numPr>
          <w:ilvl w:val="0"/>
          <w:numId w:val="2"/>
        </w:numPr>
        <w:spacing w:after="60" w:line="264"/>
      </w:pPr>
      <w:r>
        <w:rPr>
          <w:rFonts w:ascii="Aptos" w:cs="Aptos" w:eastAsia="Aptos" w:hAnsi="Aptos"/>
          <w:color w:val="1E2833"/>
          <w:sz w:val="20"/>
          <w:szCs w:val="20"/>
        </w:rPr>
        <w:t xml:space="preserve">Before reversing, stop, look over both shoulders in the direction of travel, sound the horn and check that the reversing alarm is working.</w:t>
      </w:r>
    </w:p>
    <w:p>
      <w:pPr>
        <w:pStyle w:val="ListParagraph"/>
        <w:numPr>
          <w:ilvl w:val="0"/>
          <w:numId w:val="2"/>
        </w:numPr>
        <w:spacing w:after="60" w:line="264"/>
      </w:pPr>
      <w:r>
        <w:rPr>
          <w:rFonts w:ascii="Aptos" w:cs="Aptos" w:eastAsia="Aptos" w:hAnsi="Aptos"/>
          <w:color w:val="1E2833"/>
          <w:sz w:val="20"/>
          <w:szCs w:val="20"/>
        </w:rPr>
        <w:t xml:space="preserve">A spotter is required for reversing in pick aisles. This includes reversing out of a pick aisle at the aisle end into a cross-aisle. If no spotter is available, do not reverse: wait until one is.</w:t>
      </w:r>
    </w:p>
    <w:p>
      <w:pPr>
        <w:pStyle w:val="ListParagraph"/>
        <w:numPr>
          <w:ilvl w:val="0"/>
          <w:numId w:val="2"/>
        </w:numPr>
        <w:spacing w:after="60" w:line="264"/>
      </w:pPr>
      <w:r>
        <w:rPr>
          <w:rFonts w:ascii="Aptos" w:cs="Aptos" w:eastAsia="Aptos" w:hAnsi="Aptos"/>
          <w:color w:val="1E2833"/>
          <w:sz w:val="20"/>
          <w:szCs w:val="20"/>
        </w:rPr>
        <w:t xml:space="preserve">Reverse only when the spotter signals that the path is clear. Stop at once if you lose sight of the spotter or a pedestrian enters the path.</w:t>
      </w:r>
    </w:p>
    <w:p>
      <w:pPr>
        <w:keepNext/>
        <w:spacing w:before="200" w:after="80"/>
      </w:pPr>
      <w:r>
        <w:rPr>
          <w:rFonts w:ascii="Aptos Display" w:cs="Aptos Display" w:eastAsia="Aptos Display" w:hAnsi="Aptos Display"/>
          <w:b/>
          <w:bCs/>
          <w:color w:val="5E7C99"/>
          <w:sz w:val="24"/>
          <w:szCs w:val="24"/>
        </w:rPr>
        <w:t xml:space="preserve">7.3 Visibility and loads</w:t>
      </w:r>
    </w:p>
    <w:p>
      <w:pPr>
        <w:pStyle w:val="ListParagraph"/>
        <w:numPr>
          <w:ilvl w:val="0"/>
          <w:numId w:val="2"/>
        </w:numPr>
        <w:spacing w:after="60" w:line="264"/>
      </w:pPr>
      <w:r>
        <w:rPr>
          <w:rFonts w:ascii="Aptos" w:cs="Aptos" w:eastAsia="Aptos" w:hAnsi="Aptos"/>
          <w:color w:val="1E2833"/>
          <w:sz w:val="20"/>
          <w:szCs w:val="20"/>
        </w:rPr>
        <w:t xml:space="preserve">Check the load is within the rated capacity on the plant's data plate at the load centre you are working at. Do not lift a damaged pallet or an unstable load.</w:t>
      </w:r>
    </w:p>
    <w:p>
      <w:pPr>
        <w:pStyle w:val="ListParagraph"/>
        <w:numPr>
          <w:ilvl w:val="0"/>
          <w:numId w:val="2"/>
        </w:numPr>
        <w:spacing w:after="60" w:line="264"/>
      </w:pPr>
      <w:r>
        <w:rPr>
          <w:rFonts w:ascii="Aptos" w:cs="Aptos" w:eastAsia="Aptos" w:hAnsi="Aptos"/>
          <w:color w:val="1E2833"/>
          <w:sz w:val="20"/>
          <w:szCs w:val="20"/>
        </w:rPr>
        <w:t xml:space="preserve">If the load blocks your forward view, travel in reverse looking in the direction of travel, or use a spotter.</w:t>
      </w:r>
    </w:p>
    <w:p>
      <w:pPr>
        <w:pStyle w:val="ListParagraph"/>
        <w:numPr>
          <w:ilvl w:val="0"/>
          <w:numId w:val="2"/>
        </w:numPr>
        <w:spacing w:after="60" w:line="264"/>
      </w:pPr>
      <w:r>
        <w:rPr>
          <w:rFonts w:ascii="Aptos" w:cs="Aptos" w:eastAsia="Aptos" w:hAnsi="Aptos"/>
          <w:color w:val="1E2833"/>
          <w:sz w:val="20"/>
          <w:szCs w:val="20"/>
        </w:rPr>
        <w:t xml:space="preserve">Lift and lower only when the plant is stationary, with the park brake on.</w:t>
      </w:r>
    </w:p>
    <w:p>
      <w:pPr>
        <w:pStyle w:val="ListParagraph"/>
        <w:numPr>
          <w:ilvl w:val="0"/>
          <w:numId w:val="2"/>
        </w:numPr>
        <w:spacing w:after="60" w:line="264"/>
      </w:pPr>
      <w:r>
        <w:rPr>
          <w:rFonts w:ascii="Aptos" w:cs="Aptos" w:eastAsia="Aptos" w:hAnsi="Aptos"/>
          <w:color w:val="1E2833"/>
          <w:sz w:val="20"/>
          <w:szCs w:val="20"/>
        </w:rPr>
        <w:t xml:space="preserve">Do not lift or lower a load over or near any person.</w:t>
      </w:r>
    </w:p>
    <w:p>
      <w:pPr>
        <w:keepNext/>
        <w:spacing w:before="200" w:after="80"/>
      </w:pPr>
      <w:r>
        <w:rPr>
          <w:rFonts w:ascii="Aptos Display" w:cs="Aptos Display" w:eastAsia="Aptos Display" w:hAnsi="Aptos Display"/>
          <w:b/>
          <w:bCs/>
          <w:color w:val="5E7C99"/>
          <w:sz w:val="24"/>
          <w:szCs w:val="24"/>
        </w:rPr>
        <w:t xml:space="preserve">7.4 Replenishment and pedestrian exclusion</w:t>
      </w:r>
    </w:p>
    <w:p>
      <w:pPr>
        <w:pStyle w:val="ListParagraph"/>
        <w:numPr>
          <w:ilvl w:val="0"/>
          <w:numId w:val="2"/>
        </w:numPr>
        <w:spacing w:after="60" w:line="264"/>
      </w:pPr>
      <w:r>
        <w:rPr>
          <w:rFonts w:ascii="Aptos" w:cs="Aptos" w:eastAsia="Aptos" w:hAnsi="Aptos"/>
          <w:color w:val="1E2833"/>
          <w:sz w:val="20"/>
          <w:szCs w:val="20"/>
        </w:rPr>
        <w:t xml:space="preserve">Pedestrians are excluded from the bay being replenished and from under a raised load.</w:t>
      </w:r>
    </w:p>
    <w:p>
      <w:pPr>
        <w:pStyle w:val="ListParagraph"/>
        <w:numPr>
          <w:ilvl w:val="0"/>
          <w:numId w:val="2"/>
        </w:numPr>
        <w:spacing w:after="60" w:line="264"/>
      </w:pPr>
      <w:r>
        <w:rPr>
          <w:rFonts w:ascii="Aptos" w:cs="Aptos" w:eastAsia="Aptos" w:hAnsi="Aptos"/>
          <w:color w:val="1E2833"/>
          <w:sz w:val="20"/>
          <w:szCs w:val="20"/>
        </w:rPr>
        <w:t xml:space="preserve">Before lifting or lowering at a pick face, check that no picker is in the bay or next to it. If anyone is, stop and wait until they have moved clear and made eye contact with you.</w:t>
      </w:r>
    </w:p>
    <w:p>
      <w:pPr>
        <w:pStyle w:val="ListParagraph"/>
        <w:numPr>
          <w:ilvl w:val="0"/>
          <w:numId w:val="2"/>
        </w:numPr>
        <w:spacing w:after="60" w:line="264"/>
      </w:pPr>
      <w:r>
        <w:rPr>
          <w:rFonts w:ascii="Aptos" w:cs="Aptos" w:eastAsia="Aptos" w:hAnsi="Aptos"/>
          <w:color w:val="1E2833"/>
          <w:sz w:val="20"/>
          <w:szCs w:val="20"/>
        </w:rPr>
        <w:t xml:space="preserve">Pickers do not enter a bay while a forklift or reach truck is replenishing it, and wait at a safe distance until the plant has left the bay.</w:t>
      </w:r>
    </w:p>
    <w:p>
      <w:pPr>
        <w:pStyle w:val="ListParagraph"/>
        <w:numPr>
          <w:ilvl w:val="0"/>
          <w:numId w:val="2"/>
        </w:numPr>
        <w:spacing w:after="60" w:line="264"/>
      </w:pPr>
      <w:r>
        <w:rPr>
          <w:rFonts w:ascii="Aptos" w:cs="Aptos" w:eastAsia="Aptos" w:hAnsi="Aptos"/>
          <w:color w:val="1E2833"/>
          <w:sz w:val="20"/>
          <w:szCs w:val="20"/>
        </w:rPr>
        <w:t xml:space="preserve">Where the traffic plan sets a stricter rule for a zone (for example a rule that pickers leave the aisle), the stricter rule also applies.</w:t>
      </w:r>
    </w:p>
    <w:p>
      <w:pPr>
        <w:keepNext/>
        <w:spacing w:before="200" w:after="80"/>
      </w:pPr>
      <w:r>
        <w:rPr>
          <w:rFonts w:ascii="Aptos Display" w:cs="Aptos Display" w:eastAsia="Aptos Display" w:hAnsi="Aptos Display"/>
          <w:b/>
          <w:bCs/>
          <w:color w:val="5E7C99"/>
          <w:sz w:val="24"/>
          <w:szCs w:val="24"/>
        </w:rPr>
        <w:t xml:space="preserve">7.5 Docks, trailers and containers</w:t>
      </w:r>
    </w:p>
    <w:p>
      <w:pPr>
        <w:pStyle w:val="ListParagraph"/>
        <w:numPr>
          <w:ilvl w:val="0"/>
          <w:numId w:val="2"/>
        </w:numPr>
        <w:spacing w:after="60" w:line="264"/>
      </w:pPr>
      <w:r>
        <w:rPr>
          <w:rFonts w:ascii="Aptos" w:cs="Aptos" w:eastAsia="Aptos" w:hAnsi="Aptos"/>
          <w:color w:val="1E2833"/>
          <w:sz w:val="20"/>
          <w:szCs w:val="20"/>
        </w:rPr>
        <w:t xml:space="preserve">Enter a trailer or container only when the dock door is allocated, the vehicle is restrained or chocked and the dock leveller is in place and rated for the load.</w:t>
      </w:r>
    </w:p>
    <w:p>
      <w:pPr>
        <w:pStyle w:val="ListParagraph"/>
        <w:numPr>
          <w:ilvl w:val="0"/>
          <w:numId w:val="2"/>
        </w:numPr>
        <w:spacing w:after="60" w:line="264"/>
      </w:pPr>
      <w:r>
        <w:rPr>
          <w:rFonts w:ascii="Aptos" w:cs="Aptos" w:eastAsia="Aptos" w:hAnsi="Aptos"/>
          <w:color w:val="1E2833"/>
          <w:sz w:val="20"/>
          <w:szCs w:val="20"/>
        </w:rPr>
        <w:t xml:space="preserve">No pedestrians in the trailer loading area or the container while a forklift is working in it, except the dock team member directing the work (SRL-CR-043 section 7.1).</w:t>
      </w:r>
    </w:p>
    <w:p>
      <w:pPr>
        <w:pStyle w:val="ListParagraph"/>
        <w:numPr>
          <w:ilvl w:val="0"/>
          <w:numId w:val="2"/>
        </w:numPr>
        <w:spacing w:after="60" w:line="264"/>
      </w:pPr>
      <w:r>
        <w:rPr>
          <w:rFonts w:ascii="Aptos" w:cs="Aptos" w:eastAsia="Aptos" w:hAnsi="Aptos"/>
          <w:color w:val="1E2833"/>
          <w:sz w:val="20"/>
          <w:szCs w:val="20"/>
        </w:rPr>
        <w:t xml:space="preserve">Drive straight on and off the dock leveller. Never turn on the leveller plate.</w:t>
      </w:r>
    </w:p>
    <w:p>
      <w:pPr>
        <w:keepNext/>
        <w:spacing w:before="200" w:after="80"/>
      </w:pPr>
      <w:r>
        <w:rPr>
          <w:rFonts w:ascii="Aptos Display" w:cs="Aptos Display" w:eastAsia="Aptos Display" w:hAnsi="Aptos Display"/>
          <w:b/>
          <w:bCs/>
          <w:color w:val="5E7C99"/>
          <w:sz w:val="24"/>
          <w:szCs w:val="24"/>
        </w:rPr>
        <w:t xml:space="preserve">7.6 Parking and shutdown</w:t>
      </w:r>
    </w:p>
    <w:p>
      <w:pPr>
        <w:pStyle w:val="ListParagraph"/>
        <w:numPr>
          <w:ilvl w:val="0"/>
          <w:numId w:val="2"/>
        </w:numPr>
        <w:spacing w:after="60" w:line="264"/>
      </w:pPr>
      <w:r>
        <w:rPr>
          <w:rFonts w:ascii="Aptos" w:cs="Aptos" w:eastAsia="Aptos" w:hAnsi="Aptos"/>
          <w:color w:val="1E2833"/>
          <w:sz w:val="20"/>
          <w:szCs w:val="20"/>
        </w:rPr>
        <w:t xml:space="preserve">Park only in marked forklift bays, or in the place the traffic plan allows: forks fully lowered, controls in neutral, park brake on, key removed.</w:t>
      </w:r>
    </w:p>
    <w:p>
      <w:pPr>
        <w:pStyle w:val="ListParagraph"/>
        <w:numPr>
          <w:ilvl w:val="0"/>
          <w:numId w:val="2"/>
        </w:numPr>
        <w:spacing w:after="60" w:line="264"/>
      </w:pPr>
      <w:r>
        <w:rPr>
          <w:rFonts w:ascii="Aptos" w:cs="Aptos" w:eastAsia="Aptos" w:hAnsi="Aptos"/>
          <w:color w:val="1E2833"/>
          <w:sz w:val="20"/>
          <w:szCs w:val="20"/>
        </w:rPr>
        <w:t xml:space="preserve">Never park in a walkway, a crossing, in front of an exit, fire equipment or an electrical switchboard, or on a dock leveller.</w:t>
      </w:r>
    </w:p>
    <w:p>
      <w:pPr>
        <w:pStyle w:val="ListParagraph"/>
        <w:numPr>
          <w:ilvl w:val="0"/>
          <w:numId w:val="2"/>
        </w:numPr>
        <w:spacing w:after="60" w:line="264"/>
      </w:pPr>
      <w:r>
        <w:rPr>
          <w:rFonts w:ascii="Aptos" w:cs="Aptos" w:eastAsia="Aptos" w:hAnsi="Aptos"/>
          <w:color w:val="1E2833"/>
          <w:sz w:val="20"/>
          <w:szCs w:val="20"/>
        </w:rPr>
        <w:t xml:space="preserve">Do not leave plant unattended with the key in it.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Pedestrians near mobile plant</w:t>
      </w:r>
    </w:p>
    <w:p>
      <w:pPr>
        <w:pStyle w:val="ListParagraph"/>
        <w:numPr>
          <w:ilvl w:val="0"/>
          <w:numId w:val="2"/>
        </w:numPr>
        <w:spacing w:after="60" w:line="264"/>
      </w:pPr>
      <w:r>
        <w:rPr>
          <w:rFonts w:ascii="Aptos" w:cs="Aptos" w:eastAsia="Aptos" w:hAnsi="Aptos"/>
          <w:color w:val="1E2833"/>
          <w:sz w:val="20"/>
          <w:szCs w:val="20"/>
        </w:rPr>
        <w:t xml:space="preserve">Use the walkways and crossings in the traffic plan. Where there is no walkway, keep to the side and keep clear of working plant.</w:t>
      </w:r>
    </w:p>
    <w:p>
      <w:pPr>
        <w:pStyle w:val="ListParagraph"/>
        <w:numPr>
          <w:ilvl w:val="0"/>
          <w:numId w:val="2"/>
        </w:numPr>
        <w:spacing w:after="60" w:line="264"/>
      </w:pPr>
      <w:r>
        <w:rPr>
          <w:rFonts w:ascii="Aptos" w:cs="Aptos" w:eastAsia="Aptos" w:hAnsi="Aptos"/>
          <w:color w:val="1E2833"/>
          <w:sz w:val="20"/>
          <w:szCs w:val="20"/>
        </w:rPr>
        <w:t xml:space="preserve">Make eye contact with the operator before passing near plant, and wait until the operator signals you to pass.</w:t>
      </w:r>
    </w:p>
    <w:p>
      <w:pPr>
        <w:pStyle w:val="ListParagraph"/>
        <w:numPr>
          <w:ilvl w:val="0"/>
          <w:numId w:val="2"/>
        </w:numPr>
        <w:spacing w:after="60" w:line="264"/>
      </w:pPr>
      <w:r>
        <w:rPr>
          <w:rFonts w:ascii="Aptos" w:cs="Aptos" w:eastAsia="Aptos" w:hAnsi="Aptos"/>
          <w:color w:val="1E2833"/>
          <w:sz w:val="20"/>
          <w:szCs w:val="20"/>
        </w:rPr>
        <w:t xml:space="preserve">Never walk behind a reversing forklift or between plant and racking, a trailer or a wall.</w:t>
      </w:r>
    </w:p>
    <w:p>
      <w:pPr>
        <w:pStyle w:val="ListParagraph"/>
        <w:numPr>
          <w:ilvl w:val="0"/>
          <w:numId w:val="2"/>
        </w:numPr>
        <w:spacing w:after="60" w:line="264"/>
      </w:pPr>
      <w:r>
        <w:rPr>
          <w:rFonts w:ascii="Aptos" w:cs="Aptos" w:eastAsia="Aptos" w:hAnsi="Aptos"/>
          <w:color w:val="1E2833"/>
          <w:sz w:val="20"/>
          <w:szCs w:val="20"/>
        </w:rPr>
        <w:t xml:space="preserve">Stay out of a bay that is being replenished and never stand under a raised load.</w:t>
      </w:r>
    </w:p>
    <w:p>
      <w:pPr>
        <w:pStyle w:val="ListParagraph"/>
        <w:numPr>
          <w:ilvl w:val="0"/>
          <w:numId w:val="2"/>
        </w:numPr>
        <w:spacing w:after="60" w:line="264"/>
      </w:pPr>
      <w:r>
        <w:rPr>
          <w:rFonts w:ascii="Aptos" w:cs="Aptos" w:eastAsia="Aptos" w:hAnsi="Aptos"/>
          <w:color w:val="1E2833"/>
          <w:sz w:val="20"/>
          <w:szCs w:val="20"/>
        </w:rPr>
        <w:t xml:space="preserve">Wear a high visibility vest and safety footwear in the warehouse, docks and yard.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LPG cylinders and battery charging</w:t>
      </w:r>
    </w:p>
    <w:p>
      <w:pPr>
        <w:keepNext/>
        <w:spacing w:before="200" w:after="80"/>
      </w:pPr>
      <w:r>
        <w:rPr>
          <w:rFonts w:ascii="Aptos Display" w:cs="Aptos Display" w:eastAsia="Aptos Display" w:hAnsi="Aptos Display"/>
          <w:b/>
          <w:bCs/>
          <w:color w:val="5E7C99"/>
          <w:sz w:val="24"/>
          <w:szCs w:val="24"/>
        </w:rPr>
        <w:t xml:space="preserve">9.1 Changing LPG cylinders</w:t>
      </w:r>
    </w:p>
    <w:p>
      <w:pPr>
        <w:pStyle w:val="ListParagraph"/>
        <w:numPr>
          <w:ilvl w:val="0"/>
          <w:numId w:val="2"/>
        </w:numPr>
        <w:spacing w:after="60" w:line="264"/>
      </w:pPr>
      <w:r>
        <w:rPr>
          <w:rFonts w:ascii="Aptos" w:cs="Aptos" w:eastAsia="Aptos" w:hAnsi="Aptos"/>
          <w:color w:val="1E2833"/>
          <w:sz w:val="20"/>
          <w:szCs w:val="20"/>
        </w:rPr>
        <w:t xml:space="preserve">Change cylinders only in the designated area outdoors, with the engine off and the key removed. Trained operators only.</w:t>
      </w:r>
    </w:p>
    <w:p>
      <w:pPr>
        <w:pStyle w:val="ListParagraph"/>
        <w:numPr>
          <w:ilvl w:val="0"/>
          <w:numId w:val="2"/>
        </w:numPr>
        <w:spacing w:after="60" w:line="264"/>
      </w:pPr>
      <w:r>
        <w:rPr>
          <w:rFonts w:ascii="Aptos" w:cs="Aptos" w:eastAsia="Aptos" w:hAnsi="Aptos"/>
          <w:color w:val="1E2833"/>
          <w:sz w:val="20"/>
          <w:szCs w:val="20"/>
        </w:rPr>
        <w:t xml:space="preserve">Wear gloves and eye protection. Check the cylinder, valve and connector before connecting, and check for leaks after connecting.</w:t>
      </w:r>
    </w:p>
    <w:p>
      <w:pPr>
        <w:pStyle w:val="ListParagraph"/>
        <w:numPr>
          <w:ilvl w:val="0"/>
          <w:numId w:val="2"/>
        </w:numPr>
        <w:spacing w:after="60" w:line="264"/>
      </w:pPr>
      <w:r>
        <w:rPr>
          <w:rFonts w:ascii="Aptos" w:cs="Aptos" w:eastAsia="Aptos" w:hAnsi="Aptos"/>
          <w:color w:val="1E2833"/>
          <w:sz w:val="20"/>
          <w:szCs w:val="20"/>
        </w:rPr>
        <w:t xml:space="preserve">Store full and empty cylinders in the outdoor gas cage, upright and secured. No ignition sources.</w:t>
      </w:r>
    </w:p>
    <w:p>
      <w:pPr>
        <w:keepNext/>
        <w:spacing w:before="200" w:after="80"/>
      </w:pPr>
      <w:r>
        <w:rPr>
          <w:rFonts w:ascii="Aptos Display" w:cs="Aptos Display" w:eastAsia="Aptos Display" w:hAnsi="Aptos Display"/>
          <w:b/>
          <w:bCs/>
          <w:color w:val="5E7C99"/>
          <w:sz w:val="24"/>
          <w:szCs w:val="24"/>
        </w:rPr>
        <w:t xml:space="preserve">9.2 Charging and changing batteries</w:t>
      </w:r>
    </w:p>
    <w:p>
      <w:pPr>
        <w:pStyle w:val="ListParagraph"/>
        <w:numPr>
          <w:ilvl w:val="0"/>
          <w:numId w:val="2"/>
        </w:numPr>
        <w:spacing w:after="60" w:line="264"/>
      </w:pPr>
      <w:r>
        <w:rPr>
          <w:rFonts w:ascii="Aptos" w:cs="Aptos" w:eastAsia="Aptos" w:hAnsi="Aptos"/>
          <w:color w:val="1E2833"/>
          <w:sz w:val="20"/>
          <w:szCs w:val="20"/>
        </w:rPr>
        <w:t xml:space="preserve">Charge and change batteries only in the battery charging bay. Only operators authorised by their supervisor change batteries.</w:t>
      </w:r>
    </w:p>
    <w:p>
      <w:pPr>
        <w:pStyle w:val="ListParagraph"/>
        <w:numPr>
          <w:ilvl w:val="0"/>
          <w:numId w:val="2"/>
        </w:numPr>
        <w:spacing w:after="60" w:line="264"/>
      </w:pPr>
      <w:r>
        <w:rPr>
          <w:rFonts w:ascii="Aptos" w:cs="Aptos" w:eastAsia="Aptos" w:hAnsi="Aptos"/>
          <w:color w:val="1E2833"/>
          <w:sz w:val="20"/>
          <w:szCs w:val="20"/>
        </w:rPr>
        <w:t xml:space="preserve">Keep the extraction fan running. No smoking, flames or sparks in the bay.</w:t>
      </w:r>
    </w:p>
    <w:p>
      <w:pPr>
        <w:pStyle w:val="ListParagraph"/>
        <w:numPr>
          <w:ilvl w:val="0"/>
          <w:numId w:val="2"/>
        </w:numPr>
        <w:spacing w:after="60" w:line="264"/>
      </w:pPr>
      <w:r>
        <w:rPr>
          <w:rFonts w:ascii="Aptos" w:cs="Aptos" w:eastAsia="Aptos" w:hAnsi="Aptos"/>
          <w:color w:val="1E2833"/>
          <w:sz w:val="20"/>
          <w:szCs w:val="20"/>
        </w:rPr>
        <w:t xml:space="preserve">Switch the charger off before connecting or disconnecting a battery.</w:t>
      </w:r>
    </w:p>
    <w:p>
      <w:pPr>
        <w:pStyle w:val="ListParagraph"/>
        <w:numPr>
          <w:ilvl w:val="0"/>
          <w:numId w:val="2"/>
        </w:numPr>
        <w:spacing w:after="60" w:line="264"/>
      </w:pPr>
      <w:r>
        <w:rPr>
          <w:rFonts w:ascii="Aptos" w:cs="Aptos" w:eastAsia="Aptos" w:hAnsi="Aptos"/>
          <w:color w:val="1E2833"/>
          <w:sz w:val="20"/>
          <w:szCs w:val="20"/>
        </w:rPr>
        <w:t xml:space="preserve">Wear the PPE listed on the electrolyte Safety Data Sheet and the sign at the bay entry (SRL-CR-046).</w:t>
      </w:r>
    </w:p>
    <w:p>
      <w:pPr>
        <w:pStyle w:val="ListParagraph"/>
        <w:numPr>
          <w:ilvl w:val="0"/>
          <w:numId w:val="2"/>
        </w:numPr>
        <w:spacing w:after="60" w:line="264"/>
      </w:pPr>
      <w:r>
        <w:rPr>
          <w:rFonts w:ascii="Aptos" w:cs="Aptos" w:eastAsia="Aptos" w:hAnsi="Aptos"/>
          <w:color w:val="1E2833"/>
          <w:sz w:val="20"/>
          <w:szCs w:val="20"/>
        </w:rPr>
        <w:t xml:space="preserve">If electrolyte is spilled or splashed, raise the alarm, use the eyewash or shower for any splash, and follow SRL-CR-036. Only trained workers clean up a spill.</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Defects, maintenance and incidents</w:t>
      </w:r>
    </w:p>
    <w:p>
      <w:pPr>
        <w:pStyle w:val="ListParagraph"/>
        <w:numPr>
          <w:ilvl w:val="0"/>
          <w:numId w:val="2"/>
        </w:numPr>
        <w:spacing w:after="60" w:line="264"/>
      </w:pPr>
      <w:r>
        <w:rPr>
          <w:rFonts w:ascii="Aptos" w:cs="Aptos" w:eastAsia="Aptos" w:hAnsi="Aptos"/>
          <w:color w:val="1E2833"/>
          <w:sz w:val="20"/>
          <w:szCs w:val="20"/>
        </w:rPr>
        <w:t xml:space="preserve">Plant with a critical defect is tagged out and not used until it is repaired and returned to service (SRL-CR-049). This includes any defect in brakes, steering, horn, lights or warning devices, or the seatbelt.</w:t>
      </w:r>
    </w:p>
    <w:p>
      <w:pPr>
        <w:pStyle w:val="ListParagraph"/>
        <w:numPr>
          <w:ilvl w:val="0"/>
          <w:numId w:val="2"/>
        </w:numPr>
        <w:spacing w:after="60" w:line="264"/>
      </w:pPr>
      <w:r>
        <w:rPr>
          <w:rFonts w:ascii="Aptos" w:cs="Aptos" w:eastAsia="Aptos" w:hAnsi="Aptos"/>
          <w:color w:val="1E2833"/>
          <w:sz w:val="20"/>
          <w:szCs w:val="20"/>
        </w:rPr>
        <w:t xml:space="preserve">Only the maintenance contractor or another competent person repairs or adjusts plant. Operators do not adjust or disable safety devices, including beacons, alarms, lights and seat switches.</w:t>
      </w:r>
    </w:p>
    <w:p>
      <w:pPr>
        <w:pStyle w:val="ListParagraph"/>
        <w:numPr>
          <w:ilvl w:val="0"/>
          <w:numId w:val="2"/>
        </w:numPr>
        <w:spacing w:after="60" w:line="264"/>
      </w:pPr>
      <w:r>
        <w:rPr>
          <w:rFonts w:ascii="Aptos" w:cs="Aptos" w:eastAsia="Aptos" w:hAnsi="Aptos"/>
          <w:color w:val="1E2833"/>
          <w:sz w:val="20"/>
          <w:szCs w:val="20"/>
        </w:rPr>
        <w:t xml:space="preserve">Servicing and repairs are scheduled and recorded in Limble CMMS against the asset ID in the plant register (SRL-CR-066).</w:t>
      </w:r>
    </w:p>
    <w:p>
      <w:pPr>
        <w:pStyle w:val="ListParagraph"/>
        <w:numPr>
          <w:ilvl w:val="0"/>
          <w:numId w:val="2"/>
        </w:numPr>
        <w:spacing w:after="60" w:line="264"/>
      </w:pPr>
      <w:r>
        <w:rPr>
          <w:rFonts w:ascii="Aptos" w:cs="Aptos" w:eastAsia="Aptos" w:hAnsi="Aptos"/>
          <w:color w:val="1E2833"/>
          <w:sz w:val="20"/>
          <w:szCs w:val="20"/>
        </w:rPr>
        <w:t xml:space="preserve">Report every collision, near miss and hazard involving mobile plant to your supervisor straight away and in MyOSH within the times in SRL-CR-035. After any collision, stop, make the area safe and do not move the plant unless you need to in order to help someone or prevent further harm.</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Contractor plant</w:t>
      </w:r>
    </w:p>
    <w:p>
      <w:pPr>
        <w:spacing w:before="0" w:after="120" w:line="276"/>
      </w:pPr>
      <w:r>
        <w:rPr>
          <w:rFonts w:ascii="Aptos" w:cs="Aptos" w:eastAsia="Aptos" w:hAnsi="Aptos"/>
          <w:color w:val="1E2833"/>
          <w:sz w:val="20"/>
          <w:szCs w:val="20"/>
        </w:rPr>
        <w:t xml:space="preserve">Contractors who bring mobile plant onto a SteelRiver site follow the site rules in section 7, travel only on the route approved in their work area access request (SRL-CR-043 section 8, SRL-CR-158), and give SteelRiver evidence of each operator's licence before the plant is used. The WHS Coordinator verifies and records high risk work licences on SRL-CR-093 (SRL-CR-047).</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12. Training and supervision</w:t>
      </w:r>
    </w:p>
    <w:p>
      <w:pPr>
        <w:pStyle w:val="ListParagraph"/>
        <w:numPr>
          <w:ilvl w:val="0"/>
          <w:numId w:val="2"/>
        </w:numPr>
        <w:spacing w:after="60" w:line="264"/>
      </w:pPr>
      <w:r>
        <w:rPr>
          <w:rFonts w:ascii="Aptos" w:cs="Aptos" w:eastAsia="Aptos" w:hAnsi="Aptos"/>
          <w:color w:val="1E2833"/>
          <w:sz w:val="20"/>
          <w:szCs w:val="20"/>
        </w:rPr>
        <w:t xml:space="preserve">Operators are trained in this procedure during plant familiarisation and are reassessed at each VOC (every 12 months and after any plant incident) (SRL-CR-047).</w:t>
      </w:r>
    </w:p>
    <w:p>
      <w:pPr>
        <w:pStyle w:val="ListParagraph"/>
        <w:numPr>
          <w:ilvl w:val="0"/>
          <w:numId w:val="2"/>
        </w:numPr>
        <w:spacing w:after="60" w:line="264"/>
      </w:pPr>
      <w:r>
        <w:rPr>
          <w:rFonts w:ascii="Aptos" w:cs="Aptos" w:eastAsia="Aptos" w:hAnsi="Aptos"/>
          <w:color w:val="1E2833"/>
          <w:sz w:val="20"/>
          <w:szCs w:val="20"/>
        </w:rPr>
        <w:t xml:space="preserve">The site rules are covered at induction (SRL-CR-048) and at toolbox talks (SRL-CR-074).</w:t>
      </w:r>
    </w:p>
    <w:p>
      <w:pPr>
        <w:pStyle w:val="ListParagraph"/>
        <w:numPr>
          <w:ilvl w:val="0"/>
          <w:numId w:val="2"/>
        </w:numPr>
        <w:spacing w:after="60" w:line="264"/>
      </w:pPr>
      <w:r>
        <w:rPr>
          <w:rFonts w:ascii="Aptos" w:cs="Aptos" w:eastAsia="Aptos" w:hAnsi="Aptos"/>
          <w:color w:val="1E2833"/>
          <w:sz w:val="20"/>
          <w:szCs w:val="20"/>
        </w:rPr>
        <w:t xml:space="preserve">Spotters are trained by their shift supervisor in the spotter role and the hand signals before they spot (SRL-CR-043).</w:t>
      </w:r>
    </w:p>
    <w:p>
      <w:pPr>
        <w:pStyle w:val="ListParagraph"/>
        <w:numPr>
          <w:ilvl w:val="0"/>
          <w:numId w:val="2"/>
        </w:numPr>
        <w:spacing w:after="60" w:line="264"/>
      </w:pPr>
      <w:r>
        <w:rPr>
          <w:rFonts w:ascii="Aptos" w:cs="Aptos" w:eastAsia="Aptos" w:hAnsi="Aptos"/>
          <w:color w:val="1E2833"/>
          <w:sz w:val="20"/>
          <w:szCs w:val="20"/>
        </w:rPr>
        <w:t xml:space="preserve">A pictographic summary of the site rules is displayed at the battery charging bay, the forklift parking bays and each crib room.</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13. Monitoring and review</w:t>
      </w:r>
    </w:p>
    <w:p>
      <w:pPr>
        <w:pStyle w:val="ListParagraph"/>
        <w:numPr>
          <w:ilvl w:val="0"/>
          <w:numId w:val="2"/>
        </w:numPr>
        <w:spacing w:after="60" w:line="264"/>
      </w:pPr>
      <w:r>
        <w:rPr>
          <w:rFonts w:ascii="Aptos" w:cs="Aptos" w:eastAsia="Aptos" w:hAnsi="Aptos"/>
          <w:color w:val="1E2833"/>
          <w:sz w:val="20"/>
          <w:szCs w:val="20"/>
        </w:rPr>
        <w:t xml:space="preserve">Supervisors check compliance with the site rules during their shift, at paired site walks and during inspections. Breaches are coached and recorded.</w:t>
      </w:r>
    </w:p>
    <w:p>
      <w:pPr>
        <w:pStyle w:val="ListParagraph"/>
        <w:numPr>
          <w:ilvl w:val="0"/>
          <w:numId w:val="2"/>
        </w:numPr>
        <w:spacing w:after="60" w:line="264"/>
      </w:pPr>
      <w:r>
        <w:rPr>
          <w:rFonts w:ascii="Aptos" w:cs="Aptos" w:eastAsia="Aptos" w:hAnsi="Aptos"/>
          <w:color w:val="1E2833"/>
          <w:sz w:val="20"/>
          <w:szCs w:val="20"/>
        </w:rPr>
        <w:t xml:space="preserve">The WHS Coordinator reports mobile plant hazards, near misses and incidents to the site WHS Committee each quarter.</w:t>
      </w:r>
    </w:p>
    <w:p>
      <w:pPr>
        <w:pStyle w:val="ListParagraph"/>
        <w:numPr>
          <w:ilvl w:val="0"/>
          <w:numId w:val="2"/>
        </w:numPr>
        <w:spacing w:after="60" w:line="264"/>
      </w:pPr>
      <w:r>
        <w:rPr>
          <w:rFonts w:ascii="Aptos" w:cs="Aptos" w:eastAsia="Aptos" w:hAnsi="Aptos"/>
          <w:color w:val="1E2833"/>
          <w:sz w:val="20"/>
          <w:szCs w:val="20"/>
        </w:rPr>
        <w:t xml:space="preserve">This procedure is reviewed every 24 months, and earlier after a serious plant incident, a change in plant or the site layout, a change in the law, or when an HSR requests a review under reg 38(4).</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14. Records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3400"/>
        <w:gridCol w:w="2352"/>
      </w:tblGrid>
      <w:tr>
        <w:trPr>
          <w:cantSplit/>
          <w:tblHeader/>
        </w:trPr>
        <w:tc>
          <w:tcPr>
            <w:tcW w:type="dxa" w:w="4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kept</w:t>
            </w:r>
          </w:p>
        </w:tc>
        <w:tc>
          <w:tcPr>
            <w:tcW w:type="dxa" w:w="2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Retention</w:t>
            </w:r>
          </w:p>
        </w:tc>
      </w:tr>
      <w:tr>
        <w:trPr>
          <w:cantSplit/>
        </w:trPr>
        <w:tc>
          <w:tcPr>
            <w:tcW w:type="dxa" w:w="4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Completed pre-start checklists (SRL-CR-075)</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Under SRL-CR-019</w:t>
            </w:r>
          </w:p>
        </w:tc>
      </w:tr>
      <w:tr>
        <w:trPr>
          <w:cantSplit/>
        </w:trPr>
        <w:tc>
          <w:tcPr>
            <w:tcW w:type="dxa" w:w="4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Licence verifications, familiarisation and VOC records</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SRL-CR-093 and the SRL HR system</w:t>
            </w:r>
          </w:p>
        </w:tc>
        <w:tc>
          <w:tcPr>
            <w:tcW w:type="dxa" w:w="2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Under SRL-CR-019</w:t>
            </w:r>
          </w:p>
        </w:tc>
      </w:tr>
      <w:tr>
        <w:trPr>
          <w:cantSplit/>
        </w:trPr>
        <w:tc>
          <w:tcPr>
            <w:tcW w:type="dxa" w:w="4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Maintenance, repair and inspection records</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Limble CMMS</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Life of the plant plus 5 years</w:t>
            </w:r>
          </w:p>
        </w:tc>
      </w:tr>
      <w:tr>
        <w:trPr>
          <w:cantSplit/>
        </w:trPr>
        <w:tc>
          <w:tcPr>
            <w:tcW w:type="dxa" w:w="4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Near miss, hazard and incident reports</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w:t>
            </w:r>
          </w:p>
        </w:tc>
        <w:tc>
          <w:tcPr>
            <w:tcW w:type="dxa" w:w="2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Under SRL-CR-019</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15. Related documents</w:t>
      </w:r>
    </w:p>
    <w:p>
      <w:pPr>
        <w:pStyle w:val="ListParagraph"/>
        <w:numPr>
          <w:ilvl w:val="0"/>
          <w:numId w:val="2"/>
        </w:numPr>
        <w:spacing w:after="60" w:line="264"/>
      </w:pPr>
      <w:r>
        <w:rPr>
          <w:rFonts w:ascii="Aptos" w:cs="Aptos" w:eastAsia="Aptos" w:hAnsi="Aptos"/>
          <w:color w:val="1E2833"/>
          <w:sz w:val="20"/>
          <w:szCs w:val="20"/>
        </w:rPr>
        <w:t xml:space="preserve">SRL-CR-024 Alcohol and Other Drugs Policy; SRL-CR-045 Fatigue Risk Management Procedure</w:t>
      </w:r>
    </w:p>
    <w:p>
      <w:pPr>
        <w:pStyle w:val="ListParagraph"/>
        <w:numPr>
          <w:ilvl w:val="0"/>
          <w:numId w:val="2"/>
        </w:numPr>
        <w:spacing w:after="60" w:line="264"/>
      </w:pPr>
      <w:r>
        <w:rPr>
          <w:rFonts w:ascii="Aptos" w:cs="Aptos" w:eastAsia="Aptos" w:hAnsi="Aptos"/>
          <w:color w:val="1E2833"/>
          <w:sz w:val="20"/>
          <w:szCs w:val="20"/>
        </w:rPr>
        <w:t xml:space="preserve">SRL-CR-034 Contractor WHS Management Procedure; SRL-CR-035 Incident Reporting and Investigation Procedure</w:t>
      </w:r>
    </w:p>
    <w:p>
      <w:pPr>
        <w:pStyle w:val="ListParagraph"/>
        <w:numPr>
          <w:ilvl w:val="0"/>
          <w:numId w:val="2"/>
        </w:numPr>
        <w:spacing w:after="60" w:line="264"/>
      </w:pPr>
      <w:r>
        <w:rPr>
          <w:rFonts w:ascii="Aptos" w:cs="Aptos" w:eastAsia="Aptos" w:hAnsi="Aptos"/>
          <w:color w:val="1E2833"/>
          <w:sz w:val="20"/>
          <w:szCs w:val="20"/>
        </w:rPr>
        <w:t xml:space="preserve">SRL-CR-036 Emergency Response and Evacuation Procedures, Perth DC; SRL-CR-046 Personal Protective Equipment Procedure</w:t>
      </w:r>
    </w:p>
    <w:p>
      <w:pPr>
        <w:pStyle w:val="ListParagraph"/>
        <w:numPr>
          <w:ilvl w:val="0"/>
          <w:numId w:val="2"/>
        </w:numPr>
        <w:spacing w:after="60" w:line="264"/>
      </w:pPr>
      <w:r>
        <w:rPr>
          <w:rFonts w:ascii="Aptos" w:cs="Aptos" w:eastAsia="Aptos" w:hAnsi="Aptos"/>
          <w:color w:val="1E2833"/>
          <w:sz w:val="20"/>
          <w:szCs w:val="20"/>
        </w:rPr>
        <w:t xml:space="preserve">SRL-CR-043 Traffic Management Procedure and Plan, Perth DC</w:t>
      </w:r>
    </w:p>
    <w:p>
      <w:pPr>
        <w:pStyle w:val="ListParagraph"/>
        <w:numPr>
          <w:ilvl w:val="0"/>
          <w:numId w:val="2"/>
        </w:numPr>
        <w:spacing w:after="60" w:line="264"/>
      </w:pPr>
      <w:r>
        <w:rPr>
          <w:rFonts w:ascii="Aptos" w:cs="Aptos" w:eastAsia="Aptos" w:hAnsi="Aptos"/>
          <w:color w:val="1E2833"/>
          <w:sz w:val="20"/>
          <w:szCs w:val="20"/>
        </w:rPr>
        <w:t xml:space="preserve">SRL-CR-047 Training, Competency and High Risk Work Licence Procedure; SRL-CR-048 Induction Procedure</w:t>
      </w:r>
    </w:p>
    <w:p>
      <w:pPr>
        <w:pStyle w:val="ListParagraph"/>
        <w:numPr>
          <w:ilvl w:val="0"/>
          <w:numId w:val="2"/>
        </w:numPr>
        <w:spacing w:after="60" w:line="264"/>
      </w:pPr>
      <w:r>
        <w:rPr>
          <w:rFonts w:ascii="Aptos" w:cs="Aptos" w:eastAsia="Aptos" w:hAnsi="Aptos"/>
          <w:color w:val="1E2833"/>
          <w:sz w:val="20"/>
          <w:szCs w:val="20"/>
        </w:rPr>
        <w:t xml:space="preserve">SRL-CR-049 Plant Pre-start Check Procedure; SRL-CR-075 Forklift and MHE Pre-start Checklist</w:t>
      </w:r>
    </w:p>
    <w:p>
      <w:pPr>
        <w:pStyle w:val="ListParagraph"/>
        <w:numPr>
          <w:ilvl w:val="0"/>
          <w:numId w:val="2"/>
        </w:numPr>
        <w:spacing w:after="60" w:line="264"/>
      </w:pPr>
      <w:r>
        <w:rPr>
          <w:rFonts w:ascii="Aptos" w:cs="Aptos" w:eastAsia="Aptos" w:hAnsi="Aptos"/>
          <w:color w:val="1E2833"/>
          <w:sz w:val="20"/>
          <w:szCs w:val="20"/>
        </w:rPr>
        <w:t xml:space="preserve">SRL-CR-066 Plant Register, Perth DC; SRL-CR-093 Training, Induction and HRWL Register Extract, Perth DC</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17 November 2025</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in the national document set, from WHS-076 and WHS-049, with the SteelRiver site rules.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SRL-CR-042 Version 1.0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SRL-CR-042 Version 1.0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SRL-CR-042  ·  Mobile Plant (Forklift and MHE) Operations Safe Operating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SRL-CR-042 Mobile Plant (Forklift and MHE) Operations Safe Operating Procedure</dc:title>
  <dc:creator>SteelRiver Logistics Pty Ltd</dc:creator>
  <cp:lastModifiedBy>Un-named</cp:lastModifiedBy>
  <cp:revision>1</cp:revision>
  <dcterms:created xsi:type="dcterms:W3CDTF">2026-10-28T08:26:11.494Z</dcterms:created>
  <dcterms:modified xsi:type="dcterms:W3CDTF">2026-10-28T08:26:11.494Z</dcterms:modified>
</cp:coreProperties>
</file>

<file path=docProps/custom.xml><?xml version="1.0" encoding="utf-8"?>
<Properties xmlns="http://schemas.openxmlformats.org/officeDocument/2006/custom-properties" xmlns:vt="http://schemas.openxmlformats.org/officeDocument/2006/docPropsVTypes"/>
</file>