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SRL-CR-043</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Traffic Management Procedure and Plan, Perth DC</w:t>
      </w:r>
    </w:p>
    <w:p>
      <w:pPr>
        <w:spacing w:before="0" w:after="160" w:line="276"/>
      </w:pPr>
      <w:r>
        <w:rPr>
          <w:rFonts w:ascii="Aptos" w:cs="Aptos" w:eastAsia="Aptos" w:hAnsi="Aptos"/>
          <w:color w:val="5E7C99"/>
          <w:sz w:val="24"/>
          <w:szCs w:val="24"/>
        </w:rPr>
        <w:t xml:space="preserve">How pedestrians, mobile plant and vehicles are kept apart at the Perth DC, with the site traffic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SRL-CR-043</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Operations Manager, Perth DC</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12 August 2024</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August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warehouse, docks and yard</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and plan set out how SteelRiver Logistics Pty Ltd (SteelRiver) keeps pedestrians, forklifts and other mobile plant, and heavy vehicles apart at the Perth Distribution Centre (Perth DC), Lot 14 Kewdale Road, Kewdale WA 6105. It sets the site traffic rules, shows where people and plant may go (the traffic plan in Appendix A), and sets the rules for contractor and maintenance work in or next to live operating areas.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everyone at the Perth DC warehouse, docks and yard: SteelRiver employees (full time, part time and casual), labour hire workers, contractors and their workers, line haul subcontractors and their drivers, customer and carrier drivers, and visitors.</w:t>
      </w:r>
    </w:p>
    <w:p>
      <w:pPr>
        <w:spacing w:before="0" w:after="120" w:line="276"/>
      </w:pPr>
      <w:r>
        <w:rPr>
          <w:rFonts w:ascii="Aptos" w:cs="Aptos" w:eastAsia="Aptos" w:hAnsi="Aptos"/>
          <w:color w:val="1E2833"/>
          <w:sz w:val="20"/>
          <w:szCs w:val="20"/>
        </w:rPr>
        <w:t xml:space="preserve">It covers the gate and gatehouse, the yard and truck routes, the inbound and outbound docks, inbound staging, the pick zones, racking rows 1 to 10, the dispatch lanes, the refrigerated zone, the battery charging bay and the stores. How to operate a forklift or other mobile plant safely is set out in SRL-CR-042. Movement during an emergency evacuation is set out in SRL-CR-014 and SRL-CR-036.</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traffic at the Perth DC</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Health and Safety Act 2020 (WA), s.19 and s.20</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must ensure, so far as is reasonably practicable, that workers and other people are not put at risk by its work, and that the ways of entering and leaving the workplace and moving around it are without risks to health and safety.</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Act s.46 to s.49</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Consult, cooperate and coordinate with other businesses that share duties (contractors, labour hire providers, line haul subcontractors, customers whose vehicles enter the site). Consult workers and HSRs when identifying hazards, deciding controls and proposing changes to the layout or traffic flows.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Health and Safety (General) Regulations 2022 (WA), Part 3.1</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hazards, eliminate or minimise risks using the hierarchy of control (reg 36), maintain controls and review them (reg 38), including when an HSR requests a review under reg 38(4).</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Regulations, Chapter 5 (plant)</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Manage the risks of powered mobile plant, including the risk of the plant colliding with pedestrians or other plant.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WorkSafe WA codes of practice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to manage work health and safety risks; Managing the risks of plant in the workplace.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Guidance</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Safe Work Australia, General guide for workplace traffic management.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AS/NZS ISO 45001:2018</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Clause 8.1 operational planning and control; clause 8.1.3 management of change. SteelRiver's WHS management system is aligned to this standard.</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Mobile plant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Counterbalance forklifts, reach trucks, electric pallet jacks, the walkie stacker, the ride-on sweeper and any contractor plant (for example elevating work platforms and telehandlers).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Pedestrian</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Anyone on foot, including pickers, checkers, inventory staff, supervisors, drivers out of their cab, contractors and visitors.</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Walkway</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pedestrian route marked by two yellow lines with walking-figure stencils. Mobile plant does not travel along a walkway.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Crossing</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yellow hatched area where a walkway crosses a plant route. Plant gives way to pedestrians on a crossing.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Shared area</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area where pedestrians and mobile plant work in the same space without a walkway (for example pick aisles and dispatch lanes). The rules in Section 6 and Appendix A apply.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Exclusion zone</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area that pedestrians (or plant) must not enter while a defined activity is under way.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Live area</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area where forklifts, other mobile plant or vehicles are operating or may operate, including aisles, cross-aisles, docks, staging and dispatch lanes, and the yard.</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Spotter</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worker trained in the spotter role who keeps pedestrians clear and guides the operator by agreed hand signals. The spotter stands where the operator can see them and does nothing else while spotting.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area access request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approval needed before contractor or maintenance work in or next to a live area (SRL-CR-158).</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Distribution Centre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traffic management at the Perth DC. Makes sure resources are available for marking, signage, mirrors, lighting and other controls, and that the plan is reviewed when the site changes.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and the traffic plan. Plans work, rosters and plant so that the rules can be followed. Approves work area access requests (or names a delegate in writing). Arranges forklift diversions around approved work. Keeps the traffic plan drawing current.</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Advises on traffic risks and controls. Reviews plant and pedestrian hazard reports and near misses in MyOSH and reports trends to the Perth DC WHS Committee. Coordinates reviews of this procedure.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Apply the rules on their shift. Cover traffic rules at toolbox talks. Roster spotters where needed. Check that an approved access request and exclusion zone are in place before contractor work starts in their area. Stop unsafe work.</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Warehouse leads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sure the crew in their zone follow the rules, keep walkways and aisles clear, and report hazards and near misses.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Forklift and MHE operators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Hold the licence or training required (SRL-CR-047), complete the pre-start check (SRL-CR-075), follow the site rules and SRL-CR-042, and report near misses.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Use walkways and crossings, wear high visibility clothing and safety footwear in the warehouse and yard, follow the rules in this procedure, and report hazards and near misses. Any worker may stop work they believe is unsafe.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Contractors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this procedure and SRL-CR-034. Obtain an approved work area access request before working in or next to a live area, and set up the exclusion zone it specifies.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Drivers (line haul, customer and carrier)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Sign in at the gatehouse, follow the yard rules and the driver safety card, and stay in the cab or the driver waiting area unless directed by SteelRiver staff.</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Visitors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Sign in, wear the visitor vest and stay with their host at all times in the warehouse and yard.</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Site traffic rules</w:t>
      </w:r>
    </w:p>
    <w:p>
      <w:pPr>
        <w:spacing w:before="0" w:after="120" w:line="276"/>
      </w:pPr>
      <w:r>
        <w:rPr>
          <w:rFonts w:ascii="Aptos" w:cs="Aptos" w:eastAsia="Aptos" w:hAnsi="Aptos"/>
          <w:color w:val="1E2833"/>
          <w:sz w:val="20"/>
          <w:szCs w:val="20"/>
        </w:rPr>
        <w:t xml:space="preserve">These rules apply across the Perth DC. The forklift and MHE site rules are also in SRL-CR-042.</w:t>
      </w:r>
    </w:p>
    <w:p>
      <w:pPr>
        <w:keepNext/>
        <w:spacing w:before="200" w:after="80"/>
      </w:pPr>
      <w:r>
        <w:rPr>
          <w:rFonts w:ascii="Aptos Display" w:cs="Aptos Display" w:eastAsia="Aptos Display" w:hAnsi="Aptos Display"/>
          <w:b/>
          <w:bCs/>
          <w:color w:val="5E7C99"/>
          <w:sz w:val="24"/>
          <w:szCs w:val="24"/>
        </w:rPr>
        <w:t xml:space="preserve">6.1 Mobile plant</w:t>
      </w:r>
    </w:p>
    <w:p>
      <w:pPr>
        <w:pStyle w:val="ListParagraph"/>
        <w:numPr>
          <w:ilvl w:val="0"/>
          <w:numId w:val="2"/>
        </w:numPr>
        <w:spacing w:after="60" w:line="264"/>
      </w:pPr>
      <w:r>
        <w:rPr>
          <w:rFonts w:ascii="Aptos" w:cs="Aptos" w:eastAsia="Aptos" w:hAnsi="Aptos"/>
          <w:color w:val="1E2833"/>
          <w:sz w:val="20"/>
          <w:szCs w:val="20"/>
        </w:rPr>
        <w:t xml:space="preserve">Indoor speed limit for all forklifts and MHE: </w:t>
      </w:r>
      <w:r>
        <w:rPr>
          <w:rFonts w:ascii="Aptos" w:cs="Aptos" w:eastAsia="Aptos" w:hAnsi="Aptos"/>
          <w:b/>
          <w:bCs/>
          <w:color w:val="1E2833"/>
          <w:sz w:val="20"/>
          <w:szCs w:val="20"/>
        </w:rPr>
        <w:t xml:space="preserve">10 km/h</w:t>
      </w:r>
      <w:r>
        <w:rPr>
          <w:rFonts w:ascii="Aptos" w:cs="Aptos" w:eastAsia="Aptos" w:hAnsi="Aptos"/>
          <w:color w:val="1E2833"/>
          <w:sz w:val="20"/>
          <w:szCs w:val="20"/>
        </w:rPr>
        <w:t xml:space="preserve">. Slow to walking pace at blind corners, aisle ends, doorways and anywhere pedestrians are close.</w:t>
      </w:r>
    </w:p>
    <w:p>
      <w:pPr>
        <w:pStyle w:val="ListParagraph"/>
        <w:numPr>
          <w:ilvl w:val="0"/>
          <w:numId w:val="2"/>
        </w:numPr>
        <w:spacing w:after="60" w:line="264"/>
      </w:pPr>
      <w:r>
        <w:rPr>
          <w:rFonts w:ascii="Aptos" w:cs="Aptos" w:eastAsia="Aptos" w:hAnsi="Aptos"/>
          <w:color w:val="1E2833"/>
          <w:sz w:val="20"/>
          <w:szCs w:val="20"/>
        </w:rPr>
        <w:t xml:space="preserve">Rotating beacons on whenever plant is moving.</w:t>
      </w:r>
    </w:p>
    <w:p>
      <w:pPr>
        <w:pStyle w:val="ListParagraph"/>
        <w:numPr>
          <w:ilvl w:val="0"/>
          <w:numId w:val="2"/>
        </w:numPr>
        <w:spacing w:after="60" w:line="264"/>
      </w:pPr>
      <w:r>
        <w:rPr>
          <w:rFonts w:ascii="Aptos" w:cs="Aptos" w:eastAsia="Aptos" w:hAnsi="Aptos"/>
          <w:color w:val="1E2833"/>
          <w:sz w:val="20"/>
          <w:szCs w:val="20"/>
        </w:rPr>
        <w:t xml:space="preserve">Forks lowered when travelling.</w:t>
      </w:r>
    </w:p>
    <w:p>
      <w:pPr>
        <w:pStyle w:val="ListParagraph"/>
        <w:numPr>
          <w:ilvl w:val="0"/>
          <w:numId w:val="2"/>
        </w:numPr>
        <w:spacing w:after="60" w:line="264"/>
      </w:pPr>
      <w:r>
        <w:rPr>
          <w:rFonts w:ascii="Aptos" w:cs="Aptos" w:eastAsia="Aptos" w:hAnsi="Aptos"/>
          <w:color w:val="1E2833"/>
          <w:sz w:val="20"/>
          <w:szCs w:val="20"/>
        </w:rPr>
        <w:t xml:space="preserve">A spotter is required for reversing in pick aisles.</w:t>
      </w:r>
    </w:p>
    <w:p>
      <w:pPr>
        <w:pStyle w:val="ListParagraph"/>
        <w:numPr>
          <w:ilvl w:val="0"/>
          <w:numId w:val="2"/>
        </w:numPr>
        <w:spacing w:after="60" w:line="264"/>
      </w:pPr>
      <w:r>
        <w:rPr>
          <w:rFonts w:ascii="Aptos" w:cs="Aptos" w:eastAsia="Aptos" w:hAnsi="Aptos"/>
          <w:color w:val="1E2833"/>
          <w:sz w:val="20"/>
          <w:szCs w:val="20"/>
        </w:rPr>
        <w:t xml:space="preserve">Sound the horn at blind corners, aisle ends, dock doors and before passing through the refrigerated zone strip curtains.</w:t>
      </w:r>
    </w:p>
    <w:p>
      <w:pPr>
        <w:pStyle w:val="ListParagraph"/>
        <w:numPr>
          <w:ilvl w:val="0"/>
          <w:numId w:val="2"/>
        </w:numPr>
        <w:spacing w:after="60" w:line="264"/>
      </w:pPr>
      <w:r>
        <w:rPr>
          <w:rFonts w:ascii="Aptos" w:cs="Aptos" w:eastAsia="Aptos" w:hAnsi="Aptos"/>
          <w:color w:val="1E2833"/>
          <w:sz w:val="20"/>
          <w:szCs w:val="20"/>
        </w:rPr>
        <w:t xml:space="preserve">Give way to pedestrians on walkways and crossings.</w:t>
      </w:r>
    </w:p>
    <w:p>
      <w:pPr>
        <w:pStyle w:val="ListParagraph"/>
        <w:numPr>
          <w:ilvl w:val="0"/>
          <w:numId w:val="2"/>
        </w:numPr>
        <w:spacing w:after="60" w:line="264"/>
      </w:pPr>
      <w:r>
        <w:rPr>
          <w:rFonts w:ascii="Aptos" w:cs="Aptos" w:eastAsia="Aptos" w:hAnsi="Aptos"/>
          <w:color w:val="1E2833"/>
          <w:sz w:val="20"/>
          <w:szCs w:val="20"/>
        </w:rPr>
        <w:t xml:space="preserve">No loaded forklifts parked in pedestrian walkways. Park only in the marked forklift bays, forks down, key out.</w:t>
      </w:r>
    </w:p>
    <w:p>
      <w:pPr>
        <w:pStyle w:val="ListParagraph"/>
        <w:numPr>
          <w:ilvl w:val="0"/>
          <w:numId w:val="2"/>
        </w:numPr>
        <w:spacing w:after="60" w:line="264"/>
      </w:pPr>
      <w:r>
        <w:rPr>
          <w:rFonts w:ascii="Aptos" w:cs="Aptos" w:eastAsia="Aptos" w:hAnsi="Aptos"/>
          <w:color w:val="1E2833"/>
          <w:sz w:val="20"/>
          <w:szCs w:val="20"/>
        </w:rPr>
        <w:t xml:space="preserve">Travel in reverse when a load blocks the forward view, looking in the direction of travel.</w:t>
      </w:r>
    </w:p>
    <w:p>
      <w:pPr>
        <w:pStyle w:val="ListParagraph"/>
        <w:numPr>
          <w:ilvl w:val="0"/>
          <w:numId w:val="2"/>
        </w:numPr>
        <w:spacing w:after="60" w:line="264"/>
      </w:pPr>
      <w:r>
        <w:rPr>
          <w:rFonts w:ascii="Aptos" w:cs="Aptos" w:eastAsia="Aptos" w:hAnsi="Aptos"/>
          <w:color w:val="1E2833"/>
          <w:sz w:val="20"/>
          <w:szCs w:val="20"/>
        </w:rPr>
        <w:t xml:space="preserve">No passengers.</w:t>
      </w:r>
    </w:p>
    <w:p>
      <w:pPr>
        <w:keepNext/>
        <w:spacing w:before="200" w:after="80"/>
      </w:pPr>
      <w:r>
        <w:rPr>
          <w:rFonts w:ascii="Aptos Display" w:cs="Aptos Display" w:eastAsia="Aptos Display" w:hAnsi="Aptos Display"/>
          <w:b/>
          <w:bCs/>
          <w:color w:val="5E7C99"/>
          <w:sz w:val="24"/>
          <w:szCs w:val="24"/>
        </w:rPr>
        <w:t xml:space="preserve">6.2 Pedestrians</w:t>
      </w:r>
    </w:p>
    <w:p>
      <w:pPr>
        <w:pStyle w:val="ListParagraph"/>
        <w:numPr>
          <w:ilvl w:val="0"/>
          <w:numId w:val="2"/>
        </w:numPr>
        <w:spacing w:after="60" w:line="264"/>
      </w:pPr>
      <w:r>
        <w:rPr>
          <w:rFonts w:ascii="Aptos" w:cs="Aptos" w:eastAsia="Aptos" w:hAnsi="Aptos"/>
          <w:color w:val="1E2833"/>
          <w:sz w:val="20"/>
          <w:szCs w:val="20"/>
        </w:rPr>
        <w:t xml:space="preserve">Use the walkways and crossings shown in Appendix A. Where there is no walkway, keep to the side of the aisle or lane and keep clear of working plant.</w:t>
      </w:r>
    </w:p>
    <w:p>
      <w:pPr>
        <w:pStyle w:val="ListParagraph"/>
        <w:numPr>
          <w:ilvl w:val="0"/>
          <w:numId w:val="2"/>
        </w:numPr>
        <w:spacing w:after="60" w:line="264"/>
      </w:pPr>
      <w:r>
        <w:rPr>
          <w:rFonts w:ascii="Aptos" w:cs="Aptos" w:eastAsia="Aptos" w:hAnsi="Aptos"/>
          <w:color w:val="1E2833"/>
          <w:sz w:val="20"/>
          <w:szCs w:val="20"/>
        </w:rPr>
        <w:t xml:space="preserve">Make eye contact with the operator before passing near a forklift, and wait until the operator signals you to pass.</w:t>
      </w:r>
    </w:p>
    <w:p>
      <w:pPr>
        <w:pStyle w:val="ListParagraph"/>
        <w:numPr>
          <w:ilvl w:val="0"/>
          <w:numId w:val="2"/>
        </w:numPr>
        <w:spacing w:after="60" w:line="264"/>
      </w:pPr>
      <w:r>
        <w:rPr>
          <w:rFonts w:ascii="Aptos" w:cs="Aptos" w:eastAsia="Aptos" w:hAnsi="Aptos"/>
          <w:color w:val="1E2833"/>
          <w:sz w:val="20"/>
          <w:szCs w:val="20"/>
        </w:rPr>
        <w:t xml:space="preserve">Never walk behind a reversing forklift or between a forklift and racking, a trailer or a wall.</w:t>
      </w:r>
    </w:p>
    <w:p>
      <w:pPr>
        <w:pStyle w:val="ListParagraph"/>
        <w:numPr>
          <w:ilvl w:val="0"/>
          <w:numId w:val="2"/>
        </w:numPr>
        <w:spacing w:after="60" w:line="264"/>
      </w:pPr>
      <w:r>
        <w:rPr>
          <w:rFonts w:ascii="Aptos" w:cs="Aptos" w:eastAsia="Aptos" w:hAnsi="Aptos"/>
          <w:color w:val="1E2833"/>
          <w:sz w:val="20"/>
          <w:szCs w:val="20"/>
        </w:rPr>
        <w:t xml:space="preserve">Wear a high visibility vest and safety footwear in the warehouse, docks and yard.</w:t>
      </w:r>
    </w:p>
    <w:p>
      <w:pPr>
        <w:pStyle w:val="ListParagraph"/>
        <w:numPr>
          <w:ilvl w:val="0"/>
          <w:numId w:val="2"/>
        </w:numPr>
        <w:spacing w:after="60" w:line="264"/>
      </w:pPr>
      <w:r>
        <w:rPr>
          <w:rFonts w:ascii="Aptos" w:cs="Aptos" w:eastAsia="Aptos" w:hAnsi="Aptos"/>
          <w:color w:val="1E2833"/>
          <w:sz w:val="20"/>
          <w:szCs w:val="20"/>
        </w:rPr>
        <w:t xml:space="preserve">Enter and leave the warehouse by the personnel door next to the admin building. Do not walk through dock doors or plant doors.</w:t>
      </w:r>
    </w:p>
    <w:p>
      <w:pPr>
        <w:keepNext/>
        <w:spacing w:before="200" w:after="80"/>
      </w:pPr>
      <w:r>
        <w:rPr>
          <w:rFonts w:ascii="Aptos Display" w:cs="Aptos Display" w:eastAsia="Aptos Display" w:hAnsi="Aptos Display"/>
          <w:b/>
          <w:bCs/>
          <w:color w:val="5E7C99"/>
          <w:sz w:val="24"/>
          <w:szCs w:val="24"/>
        </w:rPr>
        <w:t xml:space="preserve">6.3 Vehicles in the yard</w:t>
      </w:r>
    </w:p>
    <w:p>
      <w:pPr>
        <w:pStyle w:val="ListParagraph"/>
        <w:numPr>
          <w:ilvl w:val="0"/>
          <w:numId w:val="2"/>
        </w:numPr>
        <w:spacing w:after="60" w:line="264"/>
      </w:pPr>
      <w:r>
        <w:rPr>
          <w:rFonts w:ascii="Aptos" w:cs="Aptos" w:eastAsia="Aptos" w:hAnsi="Aptos"/>
          <w:color w:val="1E2833"/>
          <w:sz w:val="20"/>
          <w:szCs w:val="20"/>
        </w:rPr>
        <w:t xml:space="preserve">Yard speed limit for all vehicles: 10 km/h.</w:t>
      </w:r>
    </w:p>
    <w:p>
      <w:pPr>
        <w:pStyle w:val="ListParagraph"/>
        <w:numPr>
          <w:ilvl w:val="0"/>
          <w:numId w:val="2"/>
        </w:numPr>
        <w:spacing w:after="60" w:line="264"/>
      </w:pPr>
      <w:r>
        <w:rPr>
          <w:rFonts w:ascii="Aptos" w:cs="Aptos" w:eastAsia="Aptos" w:hAnsi="Aptos"/>
          <w:color w:val="1E2833"/>
          <w:sz w:val="20"/>
          <w:szCs w:val="20"/>
        </w:rPr>
        <w:t xml:space="preserve">Heavy vehicles enter by gate 1 and stop at the gatehouse, travel one way to the docks, and leave by gate 2 (east). Gate 3 (north-west) is for emergency vehicles only.</w:t>
      </w:r>
    </w:p>
    <w:p>
      <w:pPr>
        <w:pStyle w:val="ListParagraph"/>
        <w:numPr>
          <w:ilvl w:val="0"/>
          <w:numId w:val="2"/>
        </w:numPr>
        <w:spacing w:after="60" w:line="264"/>
      </w:pPr>
      <w:r>
        <w:rPr>
          <w:rFonts w:ascii="Aptos" w:cs="Aptos" w:eastAsia="Aptos" w:hAnsi="Aptos"/>
          <w:color w:val="1E2833"/>
          <w:sz w:val="20"/>
          <w:szCs w:val="20"/>
        </w:rPr>
        <w:t xml:space="preserve">Drivers reverse onto a dock only when the dock door is allocated and the dock team is ready.</w:t>
      </w:r>
    </w:p>
    <w:p>
      <w:pPr>
        <w:pStyle w:val="ListParagraph"/>
        <w:numPr>
          <w:ilvl w:val="0"/>
          <w:numId w:val="2"/>
        </w:numPr>
        <w:spacing w:after="60" w:line="264"/>
      </w:pPr>
      <w:r>
        <w:rPr>
          <w:rFonts w:ascii="Aptos" w:cs="Aptos" w:eastAsia="Aptos" w:hAnsi="Aptos"/>
          <w:color w:val="1E2833"/>
          <w:sz w:val="20"/>
          <w:szCs w:val="20"/>
        </w:rPr>
        <w:t xml:space="preserve">Drivers stay in the cab or the driver waiting area during loading and unloading and do not enter the warehouse unless escorted.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Separating people and plant</w:t>
      </w:r>
    </w:p>
    <w:p>
      <w:pPr>
        <w:spacing w:before="0" w:after="120" w:line="276"/>
      </w:pPr>
      <w:r>
        <w:rPr>
          <w:rFonts w:ascii="Aptos" w:cs="Aptos" w:eastAsia="Aptos" w:hAnsi="Aptos"/>
          <w:color w:val="1E2833"/>
          <w:sz w:val="20"/>
          <w:szCs w:val="20"/>
        </w:rPr>
        <w:t xml:space="preserve">Controls are chosen using the hierarchy of control (reg 36). In order of preference, the Perth DC uses:</w:t>
      </w:r>
    </w:p>
    <w:p>
      <w:pPr>
        <w:pStyle w:val="ListParagraph"/>
        <w:numPr>
          <w:ilvl w:val="0"/>
          <w:numId w:val="3"/>
        </w:numPr>
        <w:spacing w:after="60" w:line="264"/>
      </w:pPr>
      <w:r>
        <w:rPr>
          <w:rFonts w:ascii="Aptos" w:cs="Aptos" w:eastAsia="Aptos" w:hAnsi="Aptos"/>
          <w:b/>
          <w:bCs/>
          <w:color w:val="1E2833"/>
          <w:sz w:val="20"/>
          <w:szCs w:val="20"/>
        </w:rPr>
        <w:t xml:space="preserve">Elimination and design:</w:t>
      </w:r>
      <w:r>
        <w:rPr>
          <w:rFonts w:ascii="Aptos" w:cs="Aptos" w:eastAsia="Aptos" w:hAnsi="Aptos"/>
          <w:color w:val="1E2833"/>
          <w:sz w:val="20"/>
          <w:szCs w:val="20"/>
        </w:rPr>
        <w:t xml:space="preserve"> keeping pedestrians out of areas where plant works (for example the battery charging bay and reach truck aisles), and keeping the admin building, car park and gatehouse away from truck routes.</w:t>
      </w:r>
    </w:p>
    <w:p>
      <w:pPr>
        <w:pStyle w:val="ListParagraph"/>
        <w:numPr>
          <w:ilvl w:val="0"/>
          <w:numId w:val="3"/>
        </w:numPr>
        <w:spacing w:after="60" w:line="264"/>
      </w:pPr>
      <w:r>
        <w:rPr>
          <w:rFonts w:ascii="Aptos" w:cs="Aptos" w:eastAsia="Aptos" w:hAnsi="Aptos"/>
          <w:b/>
          <w:bCs/>
          <w:color w:val="1E2833"/>
          <w:sz w:val="20"/>
          <w:szCs w:val="20"/>
        </w:rPr>
        <w:t xml:space="preserve">Isolation and engineering:</w:t>
      </w:r>
      <w:r>
        <w:rPr>
          <w:rFonts w:ascii="Aptos" w:cs="Aptos" w:eastAsia="Aptos" w:hAnsi="Aptos"/>
          <w:color w:val="1E2833"/>
          <w:sz w:val="20"/>
          <w:szCs w:val="20"/>
        </w:rPr>
        <w:t xml:space="preserve"> kerbs and fencing between the car park and the yard, bollards protecting the bulk diesel tank, the gas cage and the personnel door, convex mirrors at blind corners, lighting, beacons and reversing alarms on plant.</w:t>
      </w:r>
    </w:p>
    <w:p>
      <w:pPr>
        <w:pStyle w:val="ListParagraph"/>
        <w:numPr>
          <w:ilvl w:val="0"/>
          <w:numId w:val="3"/>
        </w:numPr>
        <w:spacing w:after="60" w:line="264"/>
      </w:pPr>
      <w:r>
        <w:rPr>
          <w:rFonts w:ascii="Aptos" w:cs="Aptos" w:eastAsia="Aptos" w:hAnsi="Aptos"/>
          <w:b/>
          <w:bCs/>
          <w:color w:val="1E2833"/>
          <w:sz w:val="20"/>
          <w:szCs w:val="20"/>
        </w:rPr>
        <w:t xml:space="preserve">Administrative controls:</w:t>
      </w:r>
      <w:r>
        <w:rPr>
          <w:rFonts w:ascii="Aptos" w:cs="Aptos" w:eastAsia="Aptos" w:hAnsi="Aptos"/>
          <w:color w:val="1E2833"/>
          <w:sz w:val="20"/>
          <w:szCs w:val="20"/>
        </w:rPr>
        <w:t xml:space="preserve"> walkways, crossings, exclusion zones, the site rules in Section 6, spotters, signage, induction and toolbox talks.</w:t>
      </w:r>
    </w:p>
    <w:p>
      <w:pPr>
        <w:pStyle w:val="ListParagraph"/>
        <w:numPr>
          <w:ilvl w:val="0"/>
          <w:numId w:val="3"/>
        </w:numPr>
        <w:spacing w:after="60" w:line="264"/>
      </w:pPr>
      <w:r>
        <w:rPr>
          <w:rFonts w:ascii="Aptos" w:cs="Aptos" w:eastAsia="Aptos" w:hAnsi="Aptos"/>
          <w:b/>
          <w:bCs/>
          <w:color w:val="1E2833"/>
          <w:sz w:val="20"/>
          <w:szCs w:val="20"/>
        </w:rPr>
        <w:t xml:space="preserve">PPE:</w:t>
      </w:r>
      <w:r>
        <w:rPr>
          <w:rFonts w:ascii="Aptos" w:cs="Aptos" w:eastAsia="Aptos" w:hAnsi="Aptos"/>
          <w:color w:val="1E2833"/>
          <w:sz w:val="20"/>
          <w:szCs w:val="20"/>
        </w:rPr>
        <w:t xml:space="preserve"> high visibility clothing and safety footwear.</w:t>
      </w:r>
    </w:p>
    <w:p>
      <w:pPr>
        <w:keepNext/>
        <w:spacing w:before="200" w:after="80"/>
      </w:pPr>
      <w:r>
        <w:rPr>
          <w:rFonts w:ascii="Aptos Display" w:cs="Aptos Display" w:eastAsia="Aptos Display" w:hAnsi="Aptos Display"/>
          <w:b/>
          <w:bCs/>
          <w:color w:val="5E7C99"/>
          <w:sz w:val="24"/>
          <w:szCs w:val="24"/>
        </w:rPr>
        <w:t xml:space="preserve">7.1 Standing exclusion zones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Exclusion zone</w:t>
            </w:r>
          </w:p>
        </w:tc>
        <w:tc>
          <w:tcPr>
            <w:tcW w:type="dxa" w:w="6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Rule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Trailer loading area at each dock door</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pedestrians in the loading area of a dock door while a forklift is loading or unloading the trailer, except the dock team member directing the work.</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Container unloading</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pedestrians in the container or at the container door while a forklift is working in it.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Reach truck aisles (racking rows 1 to 10)</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Pedestrians do not enter an aisle while a reach truck is working in it.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Battery charging bay</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Authorised operators only. No pedestrians in the bay while plant is moving in or out.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Plant working at height or under maintenance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Barricaded exclusion zone set up for the task (Section 8).</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Contractor and maintenance work in or next to live areas</w:t>
      </w:r>
    </w:p>
    <w:p>
      <w:pPr>
        <w:spacing w:before="0" w:after="120" w:line="276"/>
      </w:pPr>
      <w:r>
        <w:rPr>
          <w:rFonts w:ascii="Aptos" w:cs="Aptos" w:eastAsia="Aptos" w:hAnsi="Aptos"/>
          <w:color w:val="1E2833"/>
          <w:sz w:val="20"/>
          <w:szCs w:val="20"/>
        </w:rPr>
        <w:t xml:space="preserve">Contractor and maintenance work in or next to a live area brings extra plant, people and activities into forklift routes. The following apply to contractors, their subcontractors and SteelRiver maintenance providers.</w:t>
      </w:r>
    </w:p>
    <w:p>
      <w:pPr>
        <w:pStyle w:val="ListParagraph"/>
        <w:numPr>
          <w:ilvl w:val="0"/>
          <w:numId w:val="3"/>
        </w:numPr>
        <w:spacing w:after="60" w:line="264"/>
      </w:pPr>
      <w:r>
        <w:rPr>
          <w:rFonts w:ascii="Aptos" w:cs="Aptos" w:eastAsia="Aptos" w:hAnsi="Aptos"/>
          <w:color w:val="1E2833"/>
          <w:sz w:val="20"/>
          <w:szCs w:val="20"/>
        </w:rPr>
        <w:t xml:space="preserve">Before any work in or next to a live area (including work above a forklift route or a walkway), the person organising the work submits a </w:t>
      </w:r>
      <w:r>
        <w:rPr>
          <w:rFonts w:ascii="Aptos" w:cs="Aptos" w:eastAsia="Aptos" w:hAnsi="Aptos"/>
          <w:b/>
          <w:bCs/>
          <w:color w:val="1E2833"/>
          <w:sz w:val="20"/>
          <w:szCs w:val="20"/>
        </w:rPr>
        <w:t xml:space="preserve">Work Area Access Request (SRL-CR-158)</w:t>
      </w:r>
      <w:r>
        <w:rPr>
          <w:rFonts w:ascii="Aptos" w:cs="Aptos" w:eastAsia="Aptos" w:hAnsi="Aptos"/>
          <w:color w:val="1E2833"/>
          <w:sz w:val="20"/>
          <w:szCs w:val="20"/>
        </w:rPr>
        <w:t xml:space="preserve"> to the Operations Manager, with the SWMS or JSA for the task.</w:t>
      </w:r>
    </w:p>
    <w:p>
      <w:pPr>
        <w:pStyle w:val="ListParagraph"/>
        <w:numPr>
          <w:ilvl w:val="0"/>
          <w:numId w:val="3"/>
        </w:numPr>
        <w:spacing w:after="60" w:line="264"/>
      </w:pPr>
      <w:r>
        <w:rPr>
          <w:rFonts w:ascii="Aptos" w:cs="Aptos" w:eastAsia="Aptos" w:hAnsi="Aptos"/>
          <w:color w:val="1E2833"/>
          <w:sz w:val="20"/>
          <w:szCs w:val="20"/>
        </w:rPr>
        <w:t xml:space="preserve">The </w:t>
      </w:r>
      <w:r>
        <w:rPr>
          <w:rFonts w:ascii="Aptos" w:cs="Aptos" w:eastAsia="Aptos" w:hAnsi="Aptos"/>
          <w:b/>
          <w:bCs/>
          <w:color w:val="1E2833"/>
          <w:sz w:val="20"/>
          <w:szCs w:val="20"/>
        </w:rPr>
        <w:t xml:space="preserve">Operations Manager approves</w:t>
      </w:r>
      <w:r>
        <w:rPr>
          <w:rFonts w:ascii="Aptos" w:cs="Aptos" w:eastAsia="Aptos" w:hAnsi="Aptos"/>
          <w:color w:val="1E2833"/>
          <w:sz w:val="20"/>
          <w:szCs w:val="20"/>
        </w:rPr>
        <w:t xml:space="preserve"> the request (or a delegate named in writing when the Operations Manager is away). The approval sets the location, times, the exclusion zone, any forklift diversion and whether a spotter is needed.</w:t>
      </w:r>
    </w:p>
    <w:p>
      <w:pPr>
        <w:pStyle w:val="ListParagraph"/>
        <w:numPr>
          <w:ilvl w:val="0"/>
          <w:numId w:val="3"/>
        </w:numPr>
        <w:spacing w:after="60" w:line="264"/>
      </w:pPr>
      <w:r>
        <w:rPr>
          <w:rFonts w:ascii="Aptos" w:cs="Aptos" w:eastAsia="Aptos" w:hAnsi="Aptos"/>
          <w:color w:val="1E2833"/>
          <w:sz w:val="20"/>
          <w:szCs w:val="20"/>
        </w:rPr>
        <w:t xml:space="preserve">The shift supervisor for the area is told about the approved work before it starts.</w:t>
      </w:r>
    </w:p>
    <w:p>
      <w:pPr>
        <w:pStyle w:val="ListParagraph"/>
        <w:numPr>
          <w:ilvl w:val="0"/>
          <w:numId w:val="3"/>
        </w:numPr>
        <w:spacing w:after="60" w:line="264"/>
      </w:pPr>
      <w:r>
        <w:rPr>
          <w:rFonts w:ascii="Aptos" w:cs="Aptos" w:eastAsia="Aptos" w:hAnsi="Aptos"/>
          <w:color w:val="1E2833"/>
          <w:sz w:val="20"/>
          <w:szCs w:val="20"/>
        </w:rPr>
        <w:t xml:space="preserve">A </w:t>
      </w:r>
      <w:r>
        <w:rPr>
          <w:rFonts w:ascii="Aptos" w:cs="Aptos" w:eastAsia="Aptos" w:hAnsi="Aptos"/>
          <w:b/>
          <w:bCs/>
          <w:color w:val="1E2833"/>
          <w:sz w:val="20"/>
          <w:szCs w:val="20"/>
        </w:rPr>
        <w:t xml:space="preserve">barricaded exclusion zone</w:t>
      </w:r>
      <w:r>
        <w:rPr>
          <w:rFonts w:ascii="Aptos" w:cs="Aptos" w:eastAsia="Aptos" w:hAnsi="Aptos"/>
          <w:color w:val="1E2833"/>
          <w:sz w:val="20"/>
          <w:szCs w:val="20"/>
        </w:rPr>
        <w:t xml:space="preserve"> is set up around the work area and the footprint of any contractor plant before work starts, using physical barriers and signs. Cones or tape alone are not an exclusion zone.</w:t>
      </w:r>
    </w:p>
    <w:p>
      <w:pPr>
        <w:pStyle w:val="ListParagraph"/>
        <w:numPr>
          <w:ilvl w:val="0"/>
          <w:numId w:val="3"/>
        </w:numPr>
        <w:spacing w:after="60" w:line="264"/>
      </w:pPr>
      <w:r>
        <w:rPr>
          <w:rFonts w:ascii="Aptos" w:cs="Aptos" w:eastAsia="Aptos" w:hAnsi="Aptos"/>
          <w:color w:val="1E2833"/>
          <w:sz w:val="20"/>
          <w:szCs w:val="20"/>
        </w:rPr>
        <w:t xml:space="preserve">Forklift traffic is diverted away from the exclusion zone as set out in the approval. Forklift operators on the shift are told about the diversion.</w:t>
      </w:r>
    </w:p>
    <w:p>
      <w:pPr>
        <w:pStyle w:val="ListParagraph"/>
        <w:numPr>
          <w:ilvl w:val="0"/>
          <w:numId w:val="3"/>
        </w:numPr>
        <w:spacing w:after="60" w:line="264"/>
      </w:pPr>
      <w:r>
        <w:rPr>
          <w:rFonts w:ascii="Aptos" w:cs="Aptos" w:eastAsia="Aptos" w:hAnsi="Aptos"/>
          <w:color w:val="1E2833"/>
          <w:sz w:val="20"/>
          <w:szCs w:val="20"/>
        </w:rPr>
        <w:t xml:space="preserve">Work stays inside the approved location and times. If the location, the task or the plant changes, a new access request is needed before the work continues.</w:t>
      </w:r>
    </w:p>
    <w:p>
      <w:pPr>
        <w:pStyle w:val="ListParagraph"/>
        <w:numPr>
          <w:ilvl w:val="0"/>
          <w:numId w:val="3"/>
        </w:numPr>
        <w:spacing w:after="60" w:line="264"/>
      </w:pPr>
      <w:r>
        <w:rPr>
          <w:rFonts w:ascii="Aptos" w:cs="Aptos" w:eastAsia="Aptos" w:hAnsi="Aptos"/>
          <w:color w:val="1E2833"/>
          <w:sz w:val="20"/>
          <w:szCs w:val="20"/>
        </w:rPr>
        <w:t xml:space="preserve">At the end of the work the area is checked and handed back to the shift supervisor, and the request is closed.</w:t>
      </w:r>
    </w:p>
    <w:p>
      <w:pPr>
        <w:keepNext/>
        <w:spacing w:before="200" w:after="80"/>
      </w:pPr>
      <w:r>
        <w:rPr>
          <w:rFonts w:ascii="Aptos Display" w:cs="Aptos Display" w:eastAsia="Aptos Display" w:hAnsi="Aptos Display"/>
          <w:b/>
          <w:bCs/>
          <w:color w:val="5E7C99"/>
          <w:sz w:val="24"/>
          <w:szCs w:val="24"/>
        </w:rPr>
        <w:t xml:space="preserve">8.1 Contractor plant and deliveries</w:t>
      </w:r>
    </w:p>
    <w:p>
      <w:pPr>
        <w:pStyle w:val="ListParagraph"/>
        <w:numPr>
          <w:ilvl w:val="0"/>
          <w:numId w:val="2"/>
        </w:numPr>
        <w:spacing w:after="60" w:line="264"/>
      </w:pPr>
      <w:r>
        <w:rPr>
          <w:rFonts w:ascii="Aptos" w:cs="Aptos" w:eastAsia="Aptos" w:hAnsi="Aptos"/>
          <w:color w:val="1E2833"/>
          <w:sz w:val="20"/>
          <w:szCs w:val="20"/>
        </w:rPr>
        <w:t xml:space="preserve">Contractor vehicles enter by gate 1 and sign in at the gatehouse.</w:t>
      </w:r>
    </w:p>
    <w:p>
      <w:pPr>
        <w:pStyle w:val="ListParagraph"/>
        <w:numPr>
          <w:ilvl w:val="0"/>
          <w:numId w:val="2"/>
        </w:numPr>
        <w:spacing w:after="60" w:line="264"/>
      </w:pPr>
      <w:r>
        <w:rPr>
          <w:rFonts w:ascii="Aptos" w:cs="Aptos" w:eastAsia="Aptos" w:hAnsi="Aptos"/>
          <w:color w:val="1E2833"/>
          <w:sz w:val="20"/>
          <w:szCs w:val="20"/>
        </w:rPr>
        <w:t xml:space="preserve">Contractor mobile plant travels only on the route approved in the access request and does not travel through pick aisles or dispatch lanes while they are live.</w:t>
      </w:r>
    </w:p>
    <w:p>
      <w:pPr>
        <w:pStyle w:val="ListParagraph"/>
        <w:numPr>
          <w:ilvl w:val="0"/>
          <w:numId w:val="2"/>
        </w:numPr>
        <w:spacing w:after="60" w:line="264"/>
      </w:pPr>
      <w:r>
        <w:rPr>
          <w:rFonts w:ascii="Aptos" w:cs="Aptos" w:eastAsia="Aptos" w:hAnsi="Aptos"/>
          <w:color w:val="1E2833"/>
          <w:sz w:val="20"/>
          <w:szCs w:val="20"/>
        </w:rPr>
        <w:t xml:space="preserve">Contractor deliveries are received through a dock door agreed with the shift supervisor and moved along the approved route.</w:t>
      </w:r>
    </w:p>
    <w:p>
      <w:pPr>
        <w:pStyle w:val="ListParagraph"/>
        <w:numPr>
          <w:ilvl w:val="0"/>
          <w:numId w:val="2"/>
        </w:numPr>
        <w:spacing w:after="60" w:line="264"/>
      </w:pPr>
      <w:r>
        <w:rPr>
          <w:rFonts w:ascii="Aptos" w:cs="Aptos" w:eastAsia="Aptos" w:hAnsi="Aptos"/>
          <w:color w:val="1E2833"/>
          <w:sz w:val="20"/>
          <w:szCs w:val="20"/>
        </w:rPr>
        <w:t xml:space="preserve">Where an area is handed over to a principal contractor for construction work, the handover boundary is agreed in writing. Any work outside that boundary is work in a live area and this section applies.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Signs, marking, mirrors and lighting</w:t>
      </w:r>
    </w:p>
    <w:p>
      <w:pPr>
        <w:pStyle w:val="ListParagraph"/>
        <w:numPr>
          <w:ilvl w:val="0"/>
          <w:numId w:val="2"/>
        </w:numPr>
        <w:spacing w:after="60" w:line="264"/>
      </w:pPr>
      <w:r>
        <w:rPr>
          <w:rFonts w:ascii="Aptos" w:cs="Aptos" w:eastAsia="Aptos" w:hAnsi="Aptos"/>
          <w:color w:val="1E2833"/>
          <w:sz w:val="20"/>
          <w:szCs w:val="20"/>
        </w:rPr>
        <w:t xml:space="preserve">Speed limit, pedestrian and "forklifts operating" signs are placed at the personnel door, the plant doors, the dock area and each zone entry.</w:t>
      </w:r>
    </w:p>
    <w:p>
      <w:pPr>
        <w:pStyle w:val="ListParagraph"/>
        <w:numPr>
          <w:ilvl w:val="0"/>
          <w:numId w:val="2"/>
        </w:numPr>
        <w:spacing w:after="60" w:line="264"/>
      </w:pPr>
      <w:r>
        <w:rPr>
          <w:rFonts w:ascii="Aptos" w:cs="Aptos" w:eastAsia="Aptos" w:hAnsi="Aptos"/>
          <w:color w:val="1E2833"/>
          <w:sz w:val="20"/>
          <w:szCs w:val="20"/>
        </w:rPr>
        <w:t xml:space="preserve">Walkways and crossings are painted as defined in Section 4.</w:t>
      </w:r>
    </w:p>
    <w:p>
      <w:pPr>
        <w:pStyle w:val="ListParagraph"/>
        <w:numPr>
          <w:ilvl w:val="0"/>
          <w:numId w:val="2"/>
        </w:numPr>
        <w:spacing w:after="60" w:line="264"/>
      </w:pPr>
      <w:r>
        <w:rPr>
          <w:rFonts w:ascii="Aptos" w:cs="Aptos" w:eastAsia="Aptos" w:hAnsi="Aptos"/>
          <w:color w:val="1E2833"/>
          <w:sz w:val="20"/>
          <w:szCs w:val="20"/>
        </w:rPr>
        <w:t xml:space="preserve">Convex mirrors are fitted at the blind corners shown in Appendix A.</w:t>
      </w:r>
    </w:p>
    <w:p>
      <w:pPr>
        <w:pStyle w:val="ListParagraph"/>
        <w:numPr>
          <w:ilvl w:val="0"/>
          <w:numId w:val="2"/>
        </w:numPr>
        <w:spacing w:after="60" w:line="264"/>
      </w:pPr>
      <w:r>
        <w:rPr>
          <w:rFonts w:ascii="Aptos" w:cs="Aptos" w:eastAsia="Aptos" w:hAnsi="Aptos"/>
          <w:color w:val="1E2833"/>
          <w:sz w:val="20"/>
          <w:szCs w:val="20"/>
        </w:rPr>
        <w:t xml:space="preserve">Faults with marking, mirrors, lighting or signs are reported in MyOSH and repaired through a Limble work order.</w:t>
      </w:r>
    </w:p>
    <w:p>
      <w:pPr>
        <w:pStyle w:val="ListParagraph"/>
        <w:numPr>
          <w:ilvl w:val="0"/>
          <w:numId w:val="2"/>
        </w:numPr>
        <w:spacing w:after="60" w:line="264"/>
      </w:pPr>
      <w:r>
        <w:rPr>
          <w:rFonts w:ascii="Aptos" w:cs="Aptos" w:eastAsia="Aptos" w:hAnsi="Aptos"/>
          <w:color w:val="1E2833"/>
          <w:sz w:val="20"/>
          <w:szCs w:val="20"/>
        </w:rPr>
        <w:t xml:space="preserve">Traffic routes, marking, mirrors and lighting are included in general workplace inspections (SRL-CR-071).</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Training and induction</w:t>
      </w:r>
    </w:p>
    <w:p>
      <w:pPr>
        <w:pStyle w:val="ListParagraph"/>
        <w:numPr>
          <w:ilvl w:val="0"/>
          <w:numId w:val="2"/>
        </w:numPr>
        <w:spacing w:after="60" w:line="264"/>
      </w:pPr>
      <w:r>
        <w:rPr>
          <w:rFonts w:ascii="Aptos" w:cs="Aptos" w:eastAsia="Aptos" w:hAnsi="Aptos"/>
          <w:color w:val="1E2833"/>
          <w:sz w:val="20"/>
          <w:szCs w:val="20"/>
        </w:rPr>
        <w:t xml:space="preserve">Every worker, contractor and driver is told the traffic rules and the traffic plan at induction (SRL-CR-048).</w:t>
      </w:r>
    </w:p>
    <w:p>
      <w:pPr>
        <w:pStyle w:val="ListParagraph"/>
        <w:numPr>
          <w:ilvl w:val="0"/>
          <w:numId w:val="2"/>
        </w:numPr>
        <w:spacing w:after="60" w:line="264"/>
      </w:pPr>
      <w:r>
        <w:rPr>
          <w:rFonts w:ascii="Aptos" w:cs="Aptos" w:eastAsia="Aptos" w:hAnsi="Aptos"/>
          <w:color w:val="1E2833"/>
          <w:sz w:val="20"/>
          <w:szCs w:val="20"/>
        </w:rPr>
        <w:t xml:space="preserve">Forklift operators hold an LF or LO high risk work licence and are assessed on site before operating (SRL-CR-047). Other MHE operators are trained and assessed for the equipment they use.</w:t>
      </w:r>
    </w:p>
    <w:p>
      <w:pPr>
        <w:pStyle w:val="ListParagraph"/>
        <w:numPr>
          <w:ilvl w:val="0"/>
          <w:numId w:val="2"/>
        </w:numPr>
        <w:spacing w:after="60" w:line="264"/>
      </w:pPr>
      <w:r>
        <w:rPr>
          <w:rFonts w:ascii="Aptos" w:cs="Aptos" w:eastAsia="Aptos" w:hAnsi="Aptos"/>
          <w:color w:val="1E2833"/>
          <w:sz w:val="20"/>
          <w:szCs w:val="20"/>
        </w:rPr>
        <w:t xml:space="preserve">Spotters are trained by their shift supervisor in the spotter role and the agreed hand signals before they spot.</w:t>
      </w:r>
    </w:p>
    <w:p>
      <w:pPr>
        <w:pStyle w:val="ListParagraph"/>
        <w:numPr>
          <w:ilvl w:val="0"/>
          <w:numId w:val="2"/>
        </w:numPr>
        <w:spacing w:after="60" w:line="264"/>
      </w:pPr>
      <w:r>
        <w:rPr>
          <w:rFonts w:ascii="Aptos" w:cs="Aptos" w:eastAsia="Aptos" w:hAnsi="Aptos"/>
          <w:color w:val="1E2833"/>
          <w:sz w:val="20"/>
          <w:szCs w:val="20"/>
        </w:rPr>
        <w:t xml:space="preserve">Shift supervisors cover traffic rules at toolbox talks (SRL-CR-074), and whenever the layout or routes change.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Reporting and monitoring</w:t>
      </w:r>
    </w:p>
    <w:p>
      <w:pPr>
        <w:pStyle w:val="ListParagraph"/>
        <w:numPr>
          <w:ilvl w:val="0"/>
          <w:numId w:val="2"/>
        </w:numPr>
        <w:spacing w:after="60" w:line="264"/>
      </w:pPr>
      <w:r>
        <w:rPr>
          <w:rFonts w:ascii="Aptos" w:cs="Aptos" w:eastAsia="Aptos" w:hAnsi="Aptos"/>
          <w:color w:val="1E2833"/>
          <w:sz w:val="20"/>
          <w:szCs w:val="20"/>
        </w:rPr>
        <w:t xml:space="preserve">Plant and pedestrian near misses and hazards are reported to the shift supervisor and entered in MyOSH within 24 hours (SRL-CR-035). Collisions and injuries are reported immediately.</w:t>
      </w:r>
    </w:p>
    <w:p>
      <w:pPr>
        <w:pStyle w:val="ListParagraph"/>
        <w:numPr>
          <w:ilvl w:val="0"/>
          <w:numId w:val="2"/>
        </w:numPr>
        <w:spacing w:after="60" w:line="264"/>
      </w:pPr>
      <w:r>
        <w:rPr>
          <w:rFonts w:ascii="Aptos" w:cs="Aptos" w:eastAsia="Aptos" w:hAnsi="Aptos"/>
          <w:color w:val="1E2833"/>
          <w:sz w:val="20"/>
          <w:szCs w:val="20"/>
        </w:rPr>
        <w:t xml:space="preserve">The WHS Coordinator reviews plant and pedestrian reports each quarter and reports trends to the Perth DC WHS Committee.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Review and change</w:t>
      </w:r>
    </w:p>
    <w:p>
      <w:pPr>
        <w:spacing w:before="0" w:after="120" w:line="276"/>
      </w:pPr>
      <w:r>
        <w:rPr>
          <w:rFonts w:ascii="Aptos" w:cs="Aptos" w:eastAsia="Aptos" w:hAnsi="Aptos"/>
          <w:color w:val="1E2833"/>
          <w:sz w:val="20"/>
          <w:szCs w:val="20"/>
        </w:rPr>
        <w:t xml:space="preserve">This procedure and the traffic plan are reviewed at least every two years, and earlier when:</w:t>
      </w:r>
    </w:p>
    <w:p>
      <w:pPr>
        <w:pStyle w:val="ListParagraph"/>
        <w:numPr>
          <w:ilvl w:val="0"/>
          <w:numId w:val="2"/>
        </w:numPr>
        <w:spacing w:after="60" w:line="264"/>
      </w:pPr>
      <w:r>
        <w:rPr>
          <w:rFonts w:ascii="Aptos" w:cs="Aptos" w:eastAsia="Aptos" w:hAnsi="Aptos"/>
          <w:color w:val="1E2833"/>
          <w:sz w:val="20"/>
          <w:szCs w:val="20"/>
        </w:rPr>
        <w:t xml:space="preserve">a plant and pedestrian incident or near miss occurs, or monitoring shows a control is not working</w:t>
      </w:r>
    </w:p>
    <w:p>
      <w:pPr>
        <w:pStyle w:val="ListParagraph"/>
        <w:numPr>
          <w:ilvl w:val="0"/>
          <w:numId w:val="2"/>
        </w:numPr>
        <w:spacing w:after="60" w:line="264"/>
      </w:pPr>
      <w:r>
        <w:rPr>
          <w:rFonts w:ascii="Aptos" w:cs="Aptos" w:eastAsia="Aptos" w:hAnsi="Aptos"/>
          <w:color w:val="1E2833"/>
          <w:sz w:val="20"/>
          <w:szCs w:val="20"/>
        </w:rPr>
        <w:t xml:space="preserve">the layout changes: new or moved racking, a new zone, a new or changed dock door, or new walkways or routes</w:t>
      </w:r>
    </w:p>
    <w:p>
      <w:pPr>
        <w:pStyle w:val="ListParagraph"/>
        <w:numPr>
          <w:ilvl w:val="0"/>
          <w:numId w:val="2"/>
        </w:numPr>
        <w:spacing w:after="60" w:line="264"/>
      </w:pPr>
      <w:r>
        <w:rPr>
          <w:rFonts w:ascii="Aptos" w:cs="Aptos" w:eastAsia="Aptos" w:hAnsi="Aptos"/>
          <w:color w:val="1E2833"/>
          <w:sz w:val="20"/>
          <w:szCs w:val="20"/>
        </w:rPr>
        <w:t xml:space="preserve">new types of plant or vehicles are introduced</w:t>
      </w:r>
    </w:p>
    <w:p>
      <w:pPr>
        <w:pStyle w:val="ListParagraph"/>
        <w:numPr>
          <w:ilvl w:val="0"/>
          <w:numId w:val="2"/>
        </w:numPr>
        <w:spacing w:after="60" w:line="264"/>
      </w:pPr>
      <w:r>
        <w:rPr>
          <w:rFonts w:ascii="Aptos" w:cs="Aptos" w:eastAsia="Aptos" w:hAnsi="Aptos"/>
          <w:color w:val="1E2833"/>
          <w:sz w:val="20"/>
          <w:szCs w:val="20"/>
        </w:rPr>
        <w:t xml:space="preserve">construction or contractor work changes routes or access</w:t>
      </w:r>
    </w:p>
    <w:p>
      <w:pPr>
        <w:pStyle w:val="ListParagraph"/>
        <w:numPr>
          <w:ilvl w:val="0"/>
          <w:numId w:val="2"/>
        </w:numPr>
        <w:spacing w:after="60" w:line="264"/>
      </w:pPr>
      <w:r>
        <w:rPr>
          <w:rFonts w:ascii="Aptos" w:cs="Aptos" w:eastAsia="Aptos" w:hAnsi="Aptos"/>
          <w:color w:val="1E2833"/>
          <w:sz w:val="20"/>
          <w:szCs w:val="20"/>
        </w:rPr>
        <w:t xml:space="preserve">volumes, shift patterns or work methods change</w:t>
      </w:r>
    </w:p>
    <w:p>
      <w:pPr>
        <w:pStyle w:val="ListParagraph"/>
        <w:numPr>
          <w:ilvl w:val="0"/>
          <w:numId w:val="2"/>
        </w:numPr>
        <w:spacing w:after="60" w:line="264"/>
      </w:pPr>
      <w:r>
        <w:rPr>
          <w:rFonts w:ascii="Aptos" w:cs="Aptos" w:eastAsia="Aptos" w:hAnsi="Aptos"/>
          <w:color w:val="1E2833"/>
          <w:sz w:val="20"/>
          <w:szCs w:val="20"/>
        </w:rPr>
        <w:t xml:space="preserve">an HSR requests a review under reg 38(4).</w:t>
      </w:r>
    </w:p>
    <w:p>
      <w:pPr>
        <w:spacing w:before="0" w:after="120" w:line="276"/>
      </w:pPr>
      <w:r>
        <w:rPr>
          <w:rFonts w:ascii="Aptos" w:cs="Aptos" w:eastAsia="Aptos" w:hAnsi="Aptos"/>
          <w:color w:val="1E2833"/>
          <w:sz w:val="20"/>
          <w:szCs w:val="20"/>
        </w:rPr>
        <w:t xml:space="preserve">Changes are prepared by the Operations Manager with the WHS Coordinator, consulted with the HSRs and the workers affected, including forklift operators (SRL-CR-031), approved by the National WHS Manager and issued under SRL-CR-019. Superseded versions of the plan are withdrawn from noticeboards and SharePoint.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Records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3400"/>
        <w:gridCol w:w="2352"/>
      </w:tblGrid>
      <w:tr>
        <w:trPr>
          <w:cantSplit/>
          <w:tblHeader/>
        </w:trPr>
        <w:tc>
          <w:tcPr>
            <w:tcW w:type="dxa" w:w="4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kept</w:t>
            </w:r>
          </w:p>
        </w:tc>
        <w:tc>
          <w:tcPr>
            <w:tcW w:type="dxa" w:w="2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Retention</w:t>
            </w:r>
          </w:p>
        </w:tc>
      </w:tr>
      <w:tr>
        <w:trPr>
          <w:cantSplit/>
        </w:trPr>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Traffic plan drawing and this procedure (all versions)</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document library</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r>
        <w:trPr>
          <w:cantSplit/>
        </w:trPr>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area access requests (SRL-CR-158)</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with the contractor record</w:t>
            </w:r>
          </w:p>
        </w:tc>
        <w:tc>
          <w:tcPr>
            <w:tcW w:type="dxa" w:w="2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r>
      <w:tr>
        <w:trPr>
          <w:cantSplit/>
        </w:trPr>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Near miss, hazard and incident reports</w:t>
            </w:r>
          </w:p>
        </w:tc>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r>
        <w:trPr>
          <w:cantSplit/>
        </w:trPr>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Induction, licence and spotter training records</w:t>
            </w:r>
          </w:p>
        </w:tc>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HR system and MyOSH</w:t>
            </w:r>
          </w:p>
        </w:tc>
        <w:tc>
          <w:tcPr>
            <w:tcW w:type="dxa" w:w="2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Under SRL-CR-019</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SRL-CR-004 Perth DC Site Profile and Site Plan</w:t>
      </w:r>
    </w:p>
    <w:p>
      <w:pPr>
        <w:pStyle w:val="ListParagraph"/>
        <w:numPr>
          <w:ilvl w:val="0"/>
          <w:numId w:val="2"/>
        </w:numPr>
        <w:spacing w:after="60" w:line="264"/>
      </w:pPr>
      <w:r>
        <w:rPr>
          <w:rFonts w:ascii="Aptos" w:cs="Aptos" w:eastAsia="Aptos" w:hAnsi="Aptos"/>
          <w:color w:val="1E2833"/>
          <w:sz w:val="20"/>
          <w:szCs w:val="20"/>
        </w:rPr>
        <w:t xml:space="preserve">SRL-CR-014 Emergency Management Plan and SRL-CR-036 Emergency Response and Evacuation Procedure</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w:t>
      </w:r>
    </w:p>
    <w:p>
      <w:pPr>
        <w:pStyle w:val="ListParagraph"/>
        <w:numPr>
          <w:ilvl w:val="0"/>
          <w:numId w:val="2"/>
        </w:numPr>
        <w:spacing w:after="60" w:line="264"/>
      </w:pPr>
      <w:r>
        <w:rPr>
          <w:rFonts w:ascii="Aptos" w:cs="Aptos" w:eastAsia="Aptos" w:hAnsi="Aptos"/>
          <w:color w:val="1E2833"/>
          <w:sz w:val="20"/>
          <w:szCs w:val="20"/>
        </w:rPr>
        <w:t xml:space="preserve">SRL-CR-031 WHS Consultation and Participation Procedure</w:t>
      </w:r>
    </w:p>
    <w:p>
      <w:pPr>
        <w:pStyle w:val="ListParagraph"/>
        <w:numPr>
          <w:ilvl w:val="0"/>
          <w:numId w:val="2"/>
        </w:numPr>
        <w:spacing w:after="60" w:line="264"/>
      </w:pPr>
      <w:r>
        <w:rPr>
          <w:rFonts w:ascii="Aptos" w:cs="Aptos" w:eastAsia="Aptos" w:hAnsi="Aptos"/>
          <w:color w:val="1E2833"/>
          <w:sz w:val="20"/>
          <w:szCs w:val="20"/>
        </w:rPr>
        <w:t xml:space="preserve">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SRL-CR-034 Contractor WHS Management Procedure</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SRL-CR-042 Mobile Plant (Forklift and MHE) Operations Safe Operating Procedure</w:t>
      </w:r>
    </w:p>
    <w:p>
      <w:pPr>
        <w:pStyle w:val="ListParagraph"/>
        <w:numPr>
          <w:ilvl w:val="0"/>
          <w:numId w:val="2"/>
        </w:numPr>
        <w:spacing w:after="60" w:line="264"/>
      </w:pPr>
      <w:r>
        <w:rPr>
          <w:rFonts w:ascii="Aptos" w:cs="Aptos" w:eastAsia="Aptos" w:hAnsi="Aptos"/>
          <w:color w:val="1E2833"/>
          <w:sz w:val="20"/>
          <w:szCs w:val="20"/>
        </w:rPr>
        <w:t xml:space="preserve">SRL-CR-047 Training, Competency and High Risk Work Licence Procedure</w:t>
      </w:r>
    </w:p>
    <w:p>
      <w:pPr>
        <w:pStyle w:val="ListParagraph"/>
        <w:numPr>
          <w:ilvl w:val="0"/>
          <w:numId w:val="2"/>
        </w:numPr>
        <w:spacing w:after="60" w:line="264"/>
      </w:pPr>
      <w:r>
        <w:rPr>
          <w:rFonts w:ascii="Aptos" w:cs="Aptos" w:eastAsia="Aptos" w:hAnsi="Aptos"/>
          <w:color w:val="1E2833"/>
          <w:sz w:val="20"/>
          <w:szCs w:val="20"/>
        </w:rPr>
        <w:t xml:space="preserve">SRL-CR-048 Induction Procedure</w:t>
      </w:r>
    </w:p>
    <w:p>
      <w:pPr>
        <w:pStyle w:val="ListParagraph"/>
        <w:numPr>
          <w:ilvl w:val="0"/>
          <w:numId w:val="2"/>
        </w:numPr>
        <w:spacing w:after="60" w:line="264"/>
      </w:pPr>
      <w:r>
        <w:rPr>
          <w:rFonts w:ascii="Aptos" w:cs="Aptos" w:eastAsia="Aptos" w:hAnsi="Aptos"/>
          <w:color w:val="1E2833"/>
          <w:sz w:val="20"/>
          <w:szCs w:val="20"/>
        </w:rPr>
        <w:t xml:space="preserve">SRL-CR-075 Forklift and MHE Pre-start Checklist</w:t>
      </w:r>
    </w:p>
    <w:p>
      <w:pPr>
        <w:pStyle w:val="ListParagraph"/>
        <w:numPr>
          <w:ilvl w:val="0"/>
          <w:numId w:val="2"/>
        </w:numPr>
        <w:spacing w:after="60" w:line="264"/>
      </w:pPr>
      <w:r>
        <w:rPr>
          <w:rFonts w:ascii="Aptos" w:cs="Aptos" w:eastAsia="Aptos" w:hAnsi="Aptos"/>
          <w:color w:val="1E2833"/>
          <w:sz w:val="20"/>
          <w:szCs w:val="20"/>
        </w:rPr>
        <w:t xml:space="preserve">SRL-CR-158 Work Area Access Request Form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Perth DC traffic plan</w:t>
      </w:r>
    </w:p>
    <w:p>
      <w:pPr>
        <w:spacing w:before="0" w:after="120" w:line="276"/>
      </w:pPr>
      <w:r>
        <w:rPr>
          <w:rFonts w:ascii="Aptos" w:cs="Aptos" w:eastAsia="Aptos" w:hAnsi="Aptos"/>
          <w:color w:val="1E2833"/>
          <w:sz w:val="20"/>
          <w:szCs w:val="20"/>
        </w:rPr>
        <w:t xml:space="preserve">Summary of traffic plan drawing TMP-PER-01 rev C (August 2024), displayed at the personnel door, the gatehouse and each crib room. The site layout is shown on the site plan in SRL-CR-004. Kewdale Road is on the south side of the site.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900"/>
        <w:gridCol w:w="4352"/>
      </w:tblGrid>
      <w:tr>
        <w:trPr>
          <w:cantSplit/>
          <w:tblHeader/>
        </w:trPr>
        <w:tc>
          <w:tcPr>
            <w:tcW w:type="dxa" w:w="2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Area</w:t>
            </w:r>
          </w:p>
        </w:tc>
        <w:tc>
          <w:tcPr>
            <w:tcW w:type="dxa" w:w="2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Plant and vehicles</w:t>
            </w:r>
          </w:p>
        </w:tc>
        <w:tc>
          <w:tcPr>
            <w:tcW w:type="dxa" w:w="4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Pedestrian arrangements and rules</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Gate 1, gatehouse and front car park (south)</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Cars and heavy vehicles entering; trucks stop at the gatehouse</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Footpath from the car park to the gatehouse and the admin building, separated from the yard by a kerb and fence. Assembly area AA1 is in the front car park.</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Yard and truck routes</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Heavy vehicles one way from gate 1 to the west (inbound) and east (outbound) docks, leaving by gate 2. Bulk diesel tank (north-east) and gas cage (east boundary near gate 2) protected by bollards</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Marked yard walkway between the gatehouse, the dock office and the driver waiting area. Drivers stay on it when out of the cab. 10 km/h.</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1 to 4 and inbound staging (west wall)</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forklifts, electric pallet jacks; container unloading</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along the inside of the west wall to the dock office. Staging lanes are shared: checkers enter a lane only when no forklift is moving in it. Trailer and container exclusion zones (Section 7.1).</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Battery charging bay (north of dock 4)</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and reach trucks charging</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Authorised operators only. Crossing where the west wall walkway passes the bay entrance.</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Racking rows 1 to 10 (reach truck aisles)</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reach trucks</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pedestrians in an aisle while a reach truck is working in it. Convex mirrors at the aisle ends on the main cross-aisle.</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Main cross-aisle (south end of the pick zones)</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and pallet jacks moving between staging, the pick zones and dispatch</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along the south side from the personnel door to the crib room and the entrances to Zones A to C.</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Zones A to C pick aisles, including the CityWide Health bay in Zone A</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forklifts replenishing pick faces; pickers on foot and with pallet jacks</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Shared aisles. Operators stop and sound the horn at the aisle end before entering. Pickers stand clear in a pick bay and make eye contact. A spotter is required for reversing in pick aisles.</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Zone B and Zone C cross-aisles, including the Zone C rear cross-aisle (north end)</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moving between aisles; forklifts turn out of aisles C7 to C10 into the rear cross-aisle</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Shared. No walkway. Pedestrians keep to the racking side and give way to turning plant. Convex mirrors at the C7 to C10 aisle ends.</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Outbound docks 5 to 12 and dispatch lanes (east wall)</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forklifts, pallet jacks; Dematic pack to dispatch conveyor</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along the inside of the east wall to the outbound dock office. Dispatch lanes are shared work areas: loaders keep clear of a forklift working in their lane. Trailer exclusion zones (Section 7.1).</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Refrigerated zone (south-east corner)</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Electric forklift and pallet jacks through the plant door</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Pedestrians use the personnel door beside the plant door, not the strip curtains. Operators sound the horn before passing through the strip curtains.</w:t>
            </w:r>
          </w:p>
        </w:tc>
      </w:tr>
      <w:tr>
        <w:trPr>
          <w:cantSplit/>
        </w:trPr>
        <w:tc>
          <w:tcPr>
            <w:tcW w:type="dxa" w:w="2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Cleaning store and maintenance store</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Ride-on sweeper; deliveries by pallet jack</w:t>
            </w:r>
          </w:p>
        </w:tc>
        <w:tc>
          <w:tcPr>
            <w:tcW w:type="dxa" w:w="4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Doors kept clear. Sweeper operates at walking pace near pedestrians.</w:t>
            </w:r>
          </w:p>
        </w:tc>
      </w:tr>
      <w:tr>
        <w:trPr>
          <w:cantSplit/>
        </w:trPr>
        <w:tc>
          <w:tcPr>
            <w:tcW w:type="dxa" w:w="2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North end of the warehouse (bulk overflow storage)</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Counterbalance forklifts</w:t>
            </w:r>
          </w:p>
        </w:tc>
        <w:tc>
          <w:tcPr>
            <w:tcW w:type="dxa" w:w="4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pick activity. Pedestrians enter only for stock checks, with the shift supervisor's agreement.</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August 2024</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Two-yearly review. Traffic plan redrawn as TMP-PER-01 rev C (mirrors at the Zone C rear cross-aisle). Section 8 added: contractor and maintenance work in or next to live areas needs an approved work area access request (SRL-CR-158) and a barricaded exclusion zone.</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2022</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the Work Health and Safety Act 2020 (WA) and Regulations 2022 (WA).</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2019</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of the Perth DC traffic management procedure and plan.</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SRL-CR-043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SRL-CR-043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SRL-CR-043  ·  Traffic Management Procedure and Plan, Perth DC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SRL-CR-043 Traffic Management Procedure and Plan, Perth DC</dc:title>
  <dc:creator>SteelRiver Logistics Pty Ltd</dc:creator>
  <cp:lastModifiedBy>Un-named</cp:lastModifiedBy>
  <cp:revision>1</cp:revision>
  <dcterms:created xsi:type="dcterms:W3CDTF">2026-10-28T08:26:11.626Z</dcterms:created>
  <dcterms:modified xsi:type="dcterms:W3CDTF">2026-10-28T08:26:11.626Z</dcterms:modified>
</cp:coreProperties>
</file>

<file path=docProps/custom.xml><?xml version="1.0" encoding="utf-8"?>
<Properties xmlns="http://schemas.openxmlformats.org/officeDocument/2006/custom-properties" xmlns:vt="http://schemas.openxmlformats.org/officeDocument/2006/docPropsVTypes"/>
</file>