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6152"/>
        <w:gridCol w:w="3600"/>
      </w:tblGrid>
      <w:tr>
        <w:tc>
          <w:tcPr>
            <w:tcW w:type="dxa" w:w="6152"/>
            <w:tcBorders>
              <w:top w:val="none" w:color="FFFFFF" w:sz="0"/>
              <w:left w:val="none" w:color="FFFFFF" w:sz="0"/>
              <w:bottom w:val="none" w:color="FFFFFF" w:sz="0"/>
              <w:right w:val="none" w:color="FFFFFF" w:sz="0"/>
            </w:tcBorders>
            <w:vAlign w:val="center"/>
          </w:tcPr>
          <w:p>
            <w:r>
              <w:drawing>
                <wp:inline distT="0" distB="0" distL="0" distR="0">
                  <wp:extent cx="18669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866900" cy="666750"/>
                          </a:xfrm>
                          <a:prstGeom prst="rect">
                            <a:avLst/>
                          </a:prstGeom>
                        </pic:spPr>
                      </pic:pic>
                    </a:graphicData>
                  </a:graphic>
                </wp:inline>
              </w:drawing>
            </w:r>
          </w:p>
        </w:tc>
        <w:tc>
          <w:tcPr>
            <w:tcW w:type="dxa" w:w="3600"/>
            <w:tcBorders>
              <w:top w:val="none" w:color="FFFFFF" w:sz="0"/>
              <w:left w:val="none" w:color="FFFFFF" w:sz="0"/>
              <w:bottom w:val="none" w:color="FFFFFF" w:sz="0"/>
              <w:right w:val="none" w:color="FFFFFF" w:sz="0"/>
            </w:tcBorders>
            <w:vAlign w:val="center"/>
          </w:tcPr>
          <w:p>
            <w:pPr>
              <w:spacing w:after="20"/>
              <w:jc w:val="right"/>
            </w:pPr>
            <w:r>
              <w:rPr>
                <w:rFonts w:ascii="Aptos" w:cs="Aptos" w:eastAsia="Aptos" w:hAnsi="Aptos"/>
                <w:b/>
                <w:bCs/>
                <w:color w:val="5E7C99"/>
                <w:spacing w:val="40"/>
                <w:sz w:val="17"/>
                <w:szCs w:val="17"/>
              </w:rPr>
              <w:t xml:space="preserve">PROCEDURE</w:t>
            </w:r>
          </w:p>
          <w:p>
            <w:pPr>
              <w:spacing w:after="0"/>
              <w:jc w:val="right"/>
            </w:pPr>
            <w:r>
              <w:rPr>
                <w:rFonts w:ascii="Aptos Display" w:cs="Aptos Display" w:eastAsia="Aptos Display" w:hAnsi="Aptos Display"/>
                <w:b/>
                <w:bCs/>
                <w:color w:val="013056"/>
                <w:sz w:val="36"/>
                <w:szCs w:val="36"/>
              </w:rPr>
              <w:t xml:space="preserve">SRL-CR-048</w:t>
            </w:r>
          </w:p>
        </w:tc>
      </w:tr>
    </w:tbl>
    <w:p>
      <w:pPr>
        <w:pBdr>
          <w:top w:val="single" w:color="013056" w:sz="18" w:space="14"/>
        </w:pBdr>
        <w:spacing w:before="200" w:after="80"/>
      </w:pPr>
      <w:r>
        <w:rPr>
          <w:rFonts w:ascii="Aptos Display" w:cs="Aptos Display" w:eastAsia="Aptos Display" w:hAnsi="Aptos Display"/>
          <w:b/>
          <w:bCs/>
          <w:color w:val="013056"/>
          <w:sz w:val="52"/>
          <w:szCs w:val="52"/>
        </w:rPr>
        <w:t xml:space="preserve">Induction Procedure (employees, casuals, labour hire, contractors, visitors)</w:t>
      </w:r>
    </w:p>
    <w:p>
      <w:pPr>
        <w:spacing w:before="0" w:after="160" w:line="276"/>
      </w:pPr>
      <w:r>
        <w:rPr>
          <w:rFonts w:ascii="Aptos" w:cs="Aptos" w:eastAsia="Aptos" w:hAnsi="Aptos"/>
          <w:color w:val="5E7C99"/>
          <w:sz w:val="24"/>
          <w:szCs w:val="24"/>
        </w:rPr>
        <w:t xml:space="preserve">Site inductions for everyone who works at or visits a SteelRiver site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38"/>
        <w:gridCol w:w="2438"/>
        <w:gridCol w:w="2438"/>
        <w:gridCol w:w="2438"/>
      </w:tblGrid>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number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SRL-CR-048</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Version</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1.1</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Document owner</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Effective date</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1 July 2026</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Approved by</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Priya Sharma, National WHS Manager</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Next review</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July 2028</w:t>
            </w:r>
          </w:p>
        </w:tc>
      </w:tr>
      <w:tr>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Applies to</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All SteelRiver sites</w:t>
            </w:r>
          </w:p>
        </w:tc>
        <w:tc>
          <w:tcPr>
            <w:tcW w:type="dxa" w:w="2438"/>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17"/>
                <w:szCs w:val="17"/>
              </w:rPr>
              <w:t xml:space="preserve">Status</w:t>
            </w:r>
          </w:p>
        </w:tc>
        <w:tc>
          <w:tcPr>
            <w:tcW w:type="dxa" w:w="2438"/>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18"/>
                <w:szCs w:val="18"/>
              </w:rPr>
              <w:t xml:space="preserve">Controlled. Uncontrolled when printed</w:t>
            </w:r>
          </w:p>
        </w:tc>
      </w:tr>
    </w:tbl>
    <w:p>
      <w:pPr>
        <w:spacing w:after="200"/>
      </w:pP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 Purpose</w:t>
      </w:r>
    </w:p>
    <w:p>
      <w:pPr>
        <w:spacing w:before="0" w:after="120" w:line="276"/>
      </w:pPr>
      <w:r>
        <w:rPr>
          <w:rFonts w:ascii="Aptos" w:cs="Aptos" w:eastAsia="Aptos" w:hAnsi="Aptos"/>
          <w:color w:val="1E2833"/>
          <w:sz w:val="20"/>
          <w:szCs w:val="20"/>
        </w:rPr>
        <w:t xml:space="preserve">This procedure makes sure that everyone who works at or visits a SteelRiver Logistics Pty Ltd (SteelRiver) site knows the site hazards, rules and emergency arrangements before they are exposed to them, and knows how to report hazards and incidents and raise WHS concerns.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2. Scope</w:t>
      </w:r>
    </w:p>
    <w:p>
      <w:pPr>
        <w:spacing w:before="0" w:after="120" w:line="276"/>
      </w:pPr>
      <w:r>
        <w:rPr>
          <w:rFonts w:ascii="Aptos" w:cs="Aptos" w:eastAsia="Aptos" w:hAnsi="Aptos"/>
          <w:color w:val="1E2833"/>
          <w:sz w:val="20"/>
          <w:szCs w:val="20"/>
        </w:rPr>
        <w:t xml:space="preserve">This procedure applies at every SteelRiver site to:</w:t>
      </w:r>
    </w:p>
    <w:p>
      <w:pPr>
        <w:pStyle w:val="ListParagraph"/>
        <w:numPr>
          <w:ilvl w:val="0"/>
          <w:numId w:val="2"/>
        </w:numPr>
        <w:spacing w:after="60" w:line="264"/>
      </w:pPr>
      <w:r>
        <w:rPr>
          <w:rFonts w:ascii="Aptos" w:cs="Aptos" w:eastAsia="Aptos" w:hAnsi="Aptos"/>
          <w:color w:val="1E2833"/>
          <w:sz w:val="20"/>
          <w:szCs w:val="20"/>
        </w:rPr>
        <w:t xml:space="preserve">employees (full time and part time) and casual employees</w:t>
      </w:r>
    </w:p>
    <w:p>
      <w:pPr>
        <w:pStyle w:val="ListParagraph"/>
        <w:numPr>
          <w:ilvl w:val="0"/>
          <w:numId w:val="2"/>
        </w:numPr>
        <w:spacing w:after="60" w:line="264"/>
      </w:pPr>
      <w:r>
        <w:rPr>
          <w:rFonts w:ascii="Aptos" w:cs="Aptos" w:eastAsia="Aptos" w:hAnsi="Aptos"/>
          <w:color w:val="1E2833"/>
          <w:sz w:val="20"/>
          <w:szCs w:val="20"/>
        </w:rPr>
        <w:t xml:space="preserve">labour hire workers placed with SteelRiver</w:t>
      </w:r>
    </w:p>
    <w:p>
      <w:pPr>
        <w:pStyle w:val="ListParagraph"/>
        <w:numPr>
          <w:ilvl w:val="0"/>
          <w:numId w:val="2"/>
        </w:numPr>
        <w:spacing w:after="60" w:line="264"/>
      </w:pPr>
      <w:r>
        <w:rPr>
          <w:rFonts w:ascii="Aptos" w:cs="Aptos" w:eastAsia="Aptos" w:hAnsi="Aptos"/>
          <w:color w:val="1E2833"/>
          <w:sz w:val="20"/>
          <w:szCs w:val="20"/>
        </w:rPr>
        <w:t xml:space="preserve">contractors and their workers, including subcontractors and line haul subcontractors</w:t>
      </w:r>
    </w:p>
    <w:p>
      <w:pPr>
        <w:pStyle w:val="ListParagraph"/>
        <w:numPr>
          <w:ilvl w:val="0"/>
          <w:numId w:val="2"/>
        </w:numPr>
        <w:spacing w:after="60" w:line="264"/>
      </w:pPr>
      <w:r>
        <w:rPr>
          <w:rFonts w:ascii="Aptos" w:cs="Aptos" w:eastAsia="Aptos" w:hAnsi="Aptos"/>
          <w:color w:val="1E2833"/>
          <w:sz w:val="20"/>
          <w:szCs w:val="20"/>
        </w:rPr>
        <w:t xml:space="preserve">visitors, including customers, auditors and suppliers' representatives</w:t>
      </w:r>
    </w:p>
    <w:p>
      <w:pPr>
        <w:pStyle w:val="ListParagraph"/>
        <w:numPr>
          <w:ilvl w:val="0"/>
          <w:numId w:val="2"/>
        </w:numPr>
        <w:spacing w:after="60" w:line="264"/>
      </w:pPr>
      <w:r>
        <w:rPr>
          <w:rFonts w:ascii="Aptos" w:cs="Aptos" w:eastAsia="Aptos" w:hAnsi="Aptos"/>
          <w:color w:val="1E2833"/>
          <w:sz w:val="20"/>
          <w:szCs w:val="20"/>
        </w:rPr>
        <w:t xml:space="preserve">drivers of customer, carrier and courier vehicles who enter the yard or docks.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3. Key rules</w:t>
      </w:r>
    </w:p>
    <w:tbl>
      <w:tblPr>
        <w:tblW w:type="dxa" w:w="9752"/>
        <w:tblBorders>
          <w:top w:val="single" w:color="auto" w:sz="4"/>
          <w:left w:val="single" w:color="auto" w:sz="4"/>
          <w:bottom w:val="single" w:color="auto" w:sz="4"/>
          <w:right w:val="single" w:color="auto" w:sz="4"/>
          <w:insideH w:val="single" w:color="auto" w:sz="4"/>
          <w:insideV w:val="single" w:color="auto" w:sz="4"/>
        </w:tblBorders>
      </w:tblPr>
      <w:tblGrid>
        <w:gridCol w:w="9752"/>
      </w:tblGrid>
      <w:tr>
        <w:trPr>
          <w:cantSplit/>
        </w:trPr>
        <w:tc>
          <w:tcPr>
            <w:tcBorders>
              <w:top w:val="none" w:color="FFFFFF" w:sz="0"/>
              <w:left w:val="single" w:color="F2A900" w:sz="30"/>
              <w:bottom w:val="none" w:color="FFFFFF" w:sz="0"/>
              <w:right w:val="none" w:color="FFFFFF" w:sz="0"/>
            </w:tcBorders>
            <w:shd w:fill="FFF6DB" w:color="auto" w:val="clear"/>
            <w:tcMar>
              <w:top w:type="dxa" w:w="140"/>
              <w:left w:type="dxa" w:w="220"/>
              <w:bottom w:type="dxa" w:w="100"/>
              <w:right w:type="dxa" w:w="200"/>
            </w:tcMar>
          </w:tcPr>
          <w:p>
            <w:pPr>
              <w:spacing w:before="0" w:after="60" w:line="276"/>
            </w:pPr>
            <w:r>
              <w:rPr>
                <w:rFonts w:ascii="Aptos" w:cs="Aptos" w:eastAsia="Aptos" w:hAnsi="Aptos"/>
                <w:b/>
                <w:bCs/>
                <w:color w:val="013056"/>
                <w:sz w:val="21"/>
                <w:szCs w:val="21"/>
              </w:rPr>
              <w:t xml:space="preserve">No induction, no work</w:t>
            </w:r>
          </w:p>
          <w:p>
            <w:pPr>
              <w:pStyle w:val="ListParagraph"/>
              <w:numPr>
                <w:ilvl w:val="0"/>
                <w:numId w:val="2"/>
              </w:numPr>
              <w:spacing w:after="60" w:line="264"/>
            </w:pPr>
            <w:r>
              <w:rPr>
                <w:rFonts w:ascii="Aptos" w:cs="Aptos" w:eastAsia="Aptos" w:hAnsi="Aptos"/>
                <w:color w:val="1E2833"/>
                <w:sz w:val="20"/>
                <w:szCs w:val="20"/>
              </w:rPr>
              <w:t xml:space="preserve">No worker starts work, and no contractor worker enters an operating area, until they have completed the induction this procedure requires.</w:t>
            </w:r>
          </w:p>
          <w:p>
            <w:pPr>
              <w:pStyle w:val="ListParagraph"/>
              <w:numPr>
                <w:ilvl w:val="0"/>
                <w:numId w:val="2"/>
              </w:numPr>
              <w:spacing w:after="60" w:line="264"/>
            </w:pPr>
            <w:r>
              <w:rPr>
                <w:rFonts w:ascii="Aptos" w:cs="Aptos" w:eastAsia="Aptos" w:hAnsi="Aptos"/>
                <w:color w:val="1E2833"/>
                <w:sz w:val="20"/>
                <w:szCs w:val="20"/>
              </w:rPr>
              <w:t xml:space="preserve">Inductions are delivered in paid time, including for casual workers.</w:t>
            </w:r>
          </w:p>
          <w:p>
            <w:pPr>
              <w:pStyle w:val="ListParagraph"/>
              <w:numPr>
                <w:ilvl w:val="0"/>
                <w:numId w:val="2"/>
              </w:numPr>
              <w:spacing w:after="60" w:line="264"/>
            </w:pPr>
            <w:r>
              <w:rPr>
                <w:rFonts w:ascii="Aptos" w:cs="Aptos" w:eastAsia="Aptos" w:hAnsi="Aptos"/>
                <w:color w:val="1E2833"/>
                <w:sz w:val="20"/>
                <w:szCs w:val="20"/>
              </w:rPr>
              <w:t xml:space="preserve">Contractor site inductions are valid for 12 months.</w:t>
            </w:r>
          </w:p>
          <w:p>
            <w:pPr>
              <w:pStyle w:val="ListParagraph"/>
              <w:numPr>
                <w:ilvl w:val="0"/>
                <w:numId w:val="2"/>
              </w:numPr>
              <w:spacing w:after="60" w:line="264"/>
            </w:pPr>
            <w:r>
              <w:rPr>
                <w:rFonts w:ascii="Aptos" w:cs="Aptos" w:eastAsia="Aptos" w:hAnsi="Aptos"/>
                <w:color w:val="1E2833"/>
                <w:sz w:val="20"/>
                <w:szCs w:val="20"/>
              </w:rPr>
              <w:t xml:space="preserve">Everyone signs in and out at the gatehouse or site reception on every visit or shift.</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4. Legal and other requirements</w:t>
      </w:r>
    </w:p>
    <w:p>
      <w:pPr>
        <w:pStyle w:val="ListParagraph"/>
        <w:numPr>
          <w:ilvl w:val="0"/>
          <w:numId w:val="2"/>
        </w:numPr>
        <w:spacing w:after="60" w:line="264"/>
      </w:pPr>
      <w:r>
        <w:rPr>
          <w:rFonts w:ascii="Aptos" w:cs="Aptos" w:eastAsia="Aptos" w:hAnsi="Aptos"/>
          <w:color w:val="1E2833"/>
          <w:sz w:val="20"/>
          <w:szCs w:val="20"/>
        </w:rPr>
        <w:t xml:space="preserve">Work Health and Safety Act 2020 (WA): the duty to provide information, training and instruction (s.19(3)(f)) and to consult, cooperate and coordinate with other PCBUs, including labour hire providers and contractors (s.46).</w:t>
      </w:r>
    </w:p>
    <w:p>
      <w:pPr>
        <w:pStyle w:val="ListParagraph"/>
        <w:numPr>
          <w:ilvl w:val="0"/>
          <w:numId w:val="2"/>
        </w:numPr>
        <w:spacing w:after="60" w:line="264"/>
      </w:pPr>
      <w:r>
        <w:rPr>
          <w:rFonts w:ascii="Aptos" w:cs="Aptos" w:eastAsia="Aptos" w:hAnsi="Aptos"/>
          <w:color w:val="1E2833"/>
          <w:sz w:val="20"/>
          <w:szCs w:val="20"/>
        </w:rPr>
        <w:t xml:space="preserve">Work Health and Safety (General) Regulations 2022 (WA): information, training and instruction provided in a way the person can readily understand (reg 39); general construction induction training (white card) for construction work.</w:t>
      </w:r>
    </w:p>
    <w:p>
      <w:pPr>
        <w:pStyle w:val="ListParagraph"/>
        <w:numPr>
          <w:ilvl w:val="0"/>
          <w:numId w:val="2"/>
        </w:numPr>
        <w:spacing w:after="60" w:line="264"/>
      </w:pPr>
      <w:r>
        <w:rPr>
          <w:rFonts w:ascii="Aptos" w:cs="Aptos" w:eastAsia="Aptos" w:hAnsi="Aptos"/>
          <w:color w:val="1E2833"/>
          <w:sz w:val="20"/>
          <w:szCs w:val="20"/>
        </w:rPr>
        <w:t xml:space="preserve">The Brisbane and Newcastle DCs apply their state WHS laws, which have equivalent requirements.</w:t>
      </w:r>
    </w:p>
    <w:p>
      <w:pPr>
        <w:pStyle w:val="ListParagraph"/>
        <w:numPr>
          <w:ilvl w:val="0"/>
          <w:numId w:val="2"/>
        </w:numPr>
        <w:spacing w:after="60" w:line="264"/>
      </w:pPr>
      <w:r>
        <w:rPr>
          <w:rFonts w:ascii="Aptos" w:cs="Aptos" w:eastAsia="Aptos" w:hAnsi="Aptos"/>
          <w:color w:val="1E2833"/>
          <w:sz w:val="20"/>
          <w:szCs w:val="20"/>
        </w:rPr>
        <w:t xml:space="preserve">AS/NZS ISO 45001:2018, clauses 7.2, 7.3 and 8.1.4.</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5. Responsibilities</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752"/>
      </w:tblGrid>
      <w:tr>
        <w:trPr>
          <w:cantSplit/>
          <w:tblHeader/>
        </w:trPr>
        <w:tc>
          <w:tcPr>
            <w:tcW w:type="dxa" w:w="3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Role</w:t>
            </w:r>
          </w:p>
        </w:tc>
        <w:tc>
          <w:tcPr>
            <w:tcW w:type="dxa" w:w="67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Responsibilities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DC Manager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Makes sure no one works at the site without the required induction. Provides time and resources for inductions.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WHS Coordinator</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Owns the site induction content and keeps it up to date. Delivers Module 1 and contractor site inductions, or trains delegates to deliver them. Keeps induction records.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People and Culture (HR Business Partner)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Books new employees and casuals into induction before their first shift. Gives the labour hire provider the start dates. Arranges interpreters and translation on request.</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Shift supervisors and warehouse leads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 Module 2 on the worker's first shift. Assign a buddy. Check that every person on their shift has been inducted.</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Contract owner and SteelRiver representative</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Book contractor workers into a site induction before they start. Brief contractors on the hazards of their work area.</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Site Administrator and gatehouse</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Run the sign-in and sign-out registers, the labour hire daily sign-in sheet and the visitor register. Issue visitor cards and high-visibility vests.</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Labour hire provider</w:t>
            </w:r>
          </w:p>
        </w:tc>
        <w:tc>
          <w:tcPr>
            <w:tcW w:type="dxa" w:w="67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Delivers its own general WHS induction before placement. Tells SteelRiver the names and start dates of workers before their first shift (section 7.3).</w:t>
            </w:r>
          </w:p>
        </w:tc>
      </w:tr>
      <w:tr>
        <w:trPr>
          <w:cantSplit/>
        </w:trPr>
        <w:tc>
          <w:tcPr>
            <w:tcW w:type="dxa" w:w="3000"/>
            <w:tcBorders>
              <w:top w:val="single" w:color="C5D2DE" w:sz="4"/>
              <w:left w:val="single" w:color="C5D2DE" w:sz="4"/>
              <w:bottom w:val="single" w:color="C5D2DE" w:sz="4"/>
              <w:right w:val="single" w:color="C5D2DE" w:sz="4"/>
            </w:tcBorders>
            <w:shd w:fill="EAF0F5" w:color="auto" w:val="clear"/>
            <w:tcMar>
              <w:top w:type="dxa" w:w="70"/>
              <w:left w:type="dxa" w:w="120"/>
              <w:bottom w:type="dxa" w:w="70"/>
              <w:right w:type="dxa" w:w="120"/>
            </w:tcMar>
            <w:vAlign w:val="top"/>
          </w:tcPr>
          <w:p>
            <w:pPr>
              <w:spacing w:after="30" w:line="252"/>
            </w:pPr>
            <w:r>
              <w:rPr>
                <w:rFonts w:ascii="Aptos" w:cs="Aptos" w:eastAsia="Aptos" w:hAnsi="Aptos"/>
                <w:b/>
                <w:bCs/>
                <w:color w:val="013056"/>
                <w:sz w:val="20"/>
                <w:szCs w:val="20"/>
              </w:rPr>
              <w:t xml:space="preserve">Workers, contractors and visitors</w:t>
            </w:r>
          </w:p>
        </w:tc>
        <w:tc>
          <w:tcPr>
            <w:tcW w:type="dxa" w:w="67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b w:val="false"/>
                <w:bCs w:val="false"/>
                <w:color w:val="1E2833"/>
                <w:sz w:val="20"/>
                <w:szCs w:val="20"/>
              </w:rPr>
              <w:t xml:space="preserve">Complete the induction, follow the site rules and ask if anything is unclear.</w:t>
            </w:r>
          </w:p>
        </w:tc>
      </w:tr>
    </w:tbl>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6. Induction modules</w:t>
      </w:r>
    </w:p>
    <w:p>
      <w:pPr>
        <w:keepNext/>
        <w:spacing w:before="200" w:after="80"/>
      </w:pPr>
      <w:r>
        <w:rPr>
          <w:rFonts w:ascii="Aptos Display" w:cs="Aptos Display" w:eastAsia="Aptos Display" w:hAnsi="Aptos Display"/>
          <w:b/>
          <w:bCs/>
          <w:color w:val="5E7C99"/>
          <w:sz w:val="24"/>
          <w:szCs w:val="24"/>
        </w:rPr>
        <w:t xml:space="preserve">6.1 Module 1: SteelRiver site induction</w:t>
      </w:r>
    </w:p>
    <w:p>
      <w:pPr>
        <w:spacing w:before="0" w:after="120" w:line="276"/>
      </w:pPr>
      <w:r>
        <w:rPr>
          <w:rFonts w:ascii="Aptos" w:cs="Aptos" w:eastAsia="Aptos" w:hAnsi="Aptos"/>
          <w:color w:val="1E2833"/>
          <w:sz w:val="20"/>
          <w:szCs w:val="20"/>
        </w:rPr>
        <w:t xml:space="preserve">Delivered by the WHS Coordinator or a trained delegate using the site induction video and slides, followed by a short questionnaire. About 90 minutes. It covers:</w:t>
      </w:r>
    </w:p>
    <w:p>
      <w:pPr>
        <w:pStyle w:val="ListParagraph"/>
        <w:numPr>
          <w:ilvl w:val="0"/>
          <w:numId w:val="2"/>
        </w:numPr>
        <w:spacing w:after="60" w:line="264"/>
      </w:pPr>
      <w:r>
        <w:rPr>
          <w:rFonts w:ascii="Aptos" w:cs="Aptos" w:eastAsia="Aptos" w:hAnsi="Aptos"/>
          <w:color w:val="1E2833"/>
          <w:sz w:val="20"/>
          <w:szCs w:val="20"/>
        </w:rPr>
        <w:t xml:space="preserve">SteelRiver's WHS Policy and everyone's WHS duties; the right to stop work that is unsafe</w:t>
      </w:r>
    </w:p>
    <w:p>
      <w:pPr>
        <w:pStyle w:val="ListParagraph"/>
        <w:numPr>
          <w:ilvl w:val="0"/>
          <w:numId w:val="2"/>
        </w:numPr>
        <w:spacing w:after="60" w:line="264"/>
      </w:pPr>
      <w:r>
        <w:rPr>
          <w:rFonts w:ascii="Aptos" w:cs="Aptos" w:eastAsia="Aptos" w:hAnsi="Aptos"/>
          <w:color w:val="1E2833"/>
          <w:sz w:val="20"/>
          <w:szCs w:val="20"/>
        </w:rPr>
        <w:t xml:space="preserve">consultation: who your HSR is, toolbox talks and the Perth DC WHS Committee; how to raise a WHS issue (SRL-CR-032)</w:t>
      </w:r>
    </w:p>
    <w:p>
      <w:pPr>
        <w:pStyle w:val="ListParagraph"/>
        <w:numPr>
          <w:ilvl w:val="0"/>
          <w:numId w:val="2"/>
        </w:numPr>
        <w:spacing w:after="60" w:line="264"/>
      </w:pPr>
      <w:r>
        <w:rPr>
          <w:rFonts w:ascii="Aptos" w:cs="Aptos" w:eastAsia="Aptos" w:hAnsi="Aptos"/>
          <w:color w:val="1E2833"/>
          <w:sz w:val="20"/>
          <w:szCs w:val="20"/>
        </w:rPr>
        <w:t xml:space="preserve">site layout, restricted areas, pedestrian walkways and crossings, forklift routes and the site traffic rules (SRL-CR-043)</w:t>
      </w:r>
    </w:p>
    <w:p>
      <w:pPr>
        <w:pStyle w:val="ListParagraph"/>
        <w:numPr>
          <w:ilvl w:val="0"/>
          <w:numId w:val="2"/>
        </w:numPr>
        <w:spacing w:after="60" w:line="264"/>
      </w:pPr>
      <w:r>
        <w:rPr>
          <w:rFonts w:ascii="Aptos" w:cs="Aptos" w:eastAsia="Aptos" w:hAnsi="Aptos"/>
          <w:color w:val="1E2833"/>
          <w:sz w:val="20"/>
          <w:szCs w:val="20"/>
        </w:rPr>
        <w:t xml:space="preserve">emergency procedures: the alarm, exits, assembly areas and wardens (SRL-CR-036)</w:t>
      </w:r>
    </w:p>
    <w:p>
      <w:pPr>
        <w:pStyle w:val="ListParagraph"/>
        <w:numPr>
          <w:ilvl w:val="0"/>
          <w:numId w:val="2"/>
        </w:numPr>
        <w:spacing w:after="60" w:line="264"/>
      </w:pPr>
      <w:r>
        <w:rPr>
          <w:rFonts w:ascii="Aptos" w:cs="Aptos" w:eastAsia="Aptos" w:hAnsi="Aptos"/>
          <w:color w:val="1E2833"/>
          <w:sz w:val="20"/>
          <w:szCs w:val="20"/>
        </w:rPr>
        <w:t xml:space="preserve">hazard, near miss and incident reporting, including MyOSH and reporting times (SRL-CR-035)</w:t>
      </w:r>
    </w:p>
    <w:p>
      <w:pPr>
        <w:pStyle w:val="ListParagraph"/>
        <w:numPr>
          <w:ilvl w:val="0"/>
          <w:numId w:val="2"/>
        </w:numPr>
        <w:spacing w:after="60" w:line="264"/>
      </w:pPr>
      <w:r>
        <w:rPr>
          <w:rFonts w:ascii="Aptos" w:cs="Aptos" w:eastAsia="Aptos" w:hAnsi="Aptos"/>
          <w:color w:val="1E2833"/>
          <w:sz w:val="20"/>
          <w:szCs w:val="20"/>
        </w:rPr>
        <w:t xml:space="preserve">PPE: high-visibility clothing, safety footwear and gloves (SRL-CR-046)</w:t>
      </w:r>
    </w:p>
    <w:p>
      <w:pPr>
        <w:pStyle w:val="ListParagraph"/>
        <w:numPr>
          <w:ilvl w:val="0"/>
          <w:numId w:val="2"/>
        </w:numPr>
        <w:spacing w:after="60" w:line="264"/>
      </w:pPr>
      <w:r>
        <w:rPr>
          <w:rFonts w:ascii="Aptos" w:cs="Aptos" w:eastAsia="Aptos" w:hAnsi="Aptos"/>
          <w:color w:val="1E2833"/>
          <w:sz w:val="20"/>
          <w:szCs w:val="20"/>
        </w:rPr>
        <w:t xml:space="preserve">manual handling and the 16 kg rule (SRL-CR-041)</w:t>
      </w:r>
    </w:p>
    <w:p>
      <w:pPr>
        <w:pStyle w:val="ListParagraph"/>
        <w:numPr>
          <w:ilvl w:val="0"/>
          <w:numId w:val="2"/>
        </w:numPr>
        <w:spacing w:after="60" w:line="264"/>
      </w:pPr>
      <w:r>
        <w:rPr>
          <w:rFonts w:ascii="Aptos" w:cs="Aptos" w:eastAsia="Aptos" w:hAnsi="Aptos"/>
          <w:color w:val="1E2833"/>
          <w:sz w:val="20"/>
          <w:szCs w:val="20"/>
        </w:rPr>
        <w:t xml:space="preserve">fatigue, psychosocial hazards, how to report them, and the EAP on 1800-SRL-EAP (SRL-CR-044, 045, 053)</w:t>
      </w:r>
    </w:p>
    <w:p>
      <w:pPr>
        <w:pStyle w:val="ListParagraph"/>
        <w:numPr>
          <w:ilvl w:val="0"/>
          <w:numId w:val="2"/>
        </w:numPr>
        <w:spacing w:after="60" w:line="264"/>
      </w:pPr>
      <w:r>
        <w:rPr>
          <w:rFonts w:ascii="Aptos" w:cs="Aptos" w:eastAsia="Aptos" w:hAnsi="Aptos"/>
          <w:color w:val="1E2833"/>
          <w:sz w:val="20"/>
          <w:szCs w:val="20"/>
        </w:rPr>
        <w:t xml:space="preserve">alcohol and other drugs, mobile phones and smoking rules (SRL-CR-024)</w:t>
      </w:r>
    </w:p>
    <w:p>
      <w:pPr>
        <w:pStyle w:val="ListParagraph"/>
        <w:numPr>
          <w:ilvl w:val="0"/>
          <w:numId w:val="2"/>
        </w:numPr>
        <w:spacing w:after="60" w:line="264"/>
      </w:pPr>
      <w:r>
        <w:rPr>
          <w:rFonts w:ascii="Aptos" w:cs="Aptos" w:eastAsia="Aptos" w:hAnsi="Aptos"/>
          <w:color w:val="1E2833"/>
          <w:sz w:val="20"/>
          <w:szCs w:val="20"/>
        </w:rPr>
        <w:t xml:space="preserve">hazardous chemicals and dangerous goods on site, and where to find SDS.</w:t>
      </w:r>
    </w:p>
    <w:p>
      <w:pPr>
        <w:keepNext/>
        <w:spacing w:before="200" w:after="80"/>
      </w:pPr>
      <w:r>
        <w:rPr>
          <w:rFonts w:ascii="Aptos Display" w:cs="Aptos Display" w:eastAsia="Aptos Display" w:hAnsi="Aptos Display"/>
          <w:b/>
          <w:bCs/>
          <w:color w:val="5E7C99"/>
          <w:sz w:val="24"/>
          <w:szCs w:val="24"/>
        </w:rPr>
        <w:t xml:space="preserve">6.2 Module 2: work area induction</w:t>
      </w:r>
    </w:p>
    <w:p>
      <w:pPr>
        <w:spacing w:before="0" w:after="120" w:line="276"/>
      </w:pPr>
      <w:r>
        <w:rPr>
          <w:rFonts w:ascii="Aptos" w:cs="Aptos" w:eastAsia="Aptos" w:hAnsi="Aptos"/>
          <w:color w:val="1E2833"/>
          <w:sz w:val="20"/>
          <w:szCs w:val="20"/>
        </w:rPr>
        <w:t xml:space="preserve">Delivered by the shift supervisor or warehouse lead on the worker's first shift, before the worker starts work in the area. It covers:</w:t>
      </w:r>
    </w:p>
    <w:p>
      <w:pPr>
        <w:pStyle w:val="ListParagraph"/>
        <w:numPr>
          <w:ilvl w:val="0"/>
          <w:numId w:val="2"/>
        </w:numPr>
        <w:spacing w:after="60" w:line="264"/>
      </w:pPr>
      <w:r>
        <w:rPr>
          <w:rFonts w:ascii="Aptos" w:cs="Aptos" w:eastAsia="Aptos" w:hAnsi="Aptos"/>
          <w:color w:val="1E2833"/>
          <w:sz w:val="20"/>
          <w:szCs w:val="20"/>
        </w:rPr>
        <w:t xml:space="preserve">a walk-through of the work area: the nearest exits, manual call points, first aid kit and assembly area</w:t>
      </w:r>
    </w:p>
    <w:p>
      <w:pPr>
        <w:pStyle w:val="ListParagraph"/>
        <w:numPr>
          <w:ilvl w:val="0"/>
          <w:numId w:val="2"/>
        </w:numPr>
        <w:spacing w:after="60" w:line="264"/>
      </w:pPr>
      <w:r>
        <w:rPr>
          <w:rFonts w:ascii="Aptos" w:cs="Aptos" w:eastAsia="Aptos" w:hAnsi="Aptos"/>
          <w:color w:val="1E2833"/>
          <w:sz w:val="20"/>
          <w:szCs w:val="20"/>
        </w:rPr>
        <w:t xml:space="preserve">the forklift and pedestrian routes and crossings in the area</w:t>
      </w:r>
    </w:p>
    <w:p>
      <w:pPr>
        <w:pStyle w:val="ListParagraph"/>
        <w:numPr>
          <w:ilvl w:val="0"/>
          <w:numId w:val="2"/>
        </w:numPr>
        <w:spacing w:after="60" w:line="264"/>
      </w:pPr>
      <w:r>
        <w:rPr>
          <w:rFonts w:ascii="Aptos" w:cs="Aptos" w:eastAsia="Aptos" w:hAnsi="Aptos"/>
          <w:color w:val="1E2833"/>
          <w:sz w:val="20"/>
          <w:szCs w:val="20"/>
        </w:rPr>
        <w:t xml:space="preserve">the hazards and controls for the area and the safe operating procedures that apply</w:t>
      </w:r>
    </w:p>
    <w:p>
      <w:pPr>
        <w:pStyle w:val="ListParagraph"/>
        <w:numPr>
          <w:ilvl w:val="0"/>
          <w:numId w:val="2"/>
        </w:numPr>
        <w:spacing w:after="60" w:line="264"/>
      </w:pPr>
      <w:r>
        <w:rPr>
          <w:rFonts w:ascii="Aptos" w:cs="Aptos" w:eastAsia="Aptos" w:hAnsi="Aptos"/>
          <w:color w:val="1E2833"/>
          <w:sz w:val="20"/>
          <w:szCs w:val="20"/>
        </w:rPr>
        <w:t xml:space="preserve">introductions to the supervisor, lead, HSR and buddy.</w:t>
      </w:r>
    </w:p>
    <w:p>
      <w:pPr>
        <w:spacing w:before="0" w:after="120" w:line="276"/>
      </w:pPr>
      <w:r>
        <w:rPr>
          <w:rFonts w:ascii="Aptos" w:cs="Aptos" w:eastAsia="Aptos" w:hAnsi="Aptos"/>
          <w:color w:val="1E2833"/>
          <w:sz w:val="20"/>
          <w:szCs w:val="20"/>
        </w:rPr>
        <w:t xml:space="preserve">New employees, casuals and labour hire workers work with a buddy for their first five shifts.</w:t>
      </w:r>
    </w:p>
    <w:p>
      <w:pPr>
        <w:keepNext/>
        <w:spacing w:before="200" w:after="80"/>
      </w:pPr>
      <w:r>
        <w:rPr>
          <w:rFonts w:ascii="Aptos Display" w:cs="Aptos Display" w:eastAsia="Aptos Display" w:hAnsi="Aptos Display"/>
          <w:b/>
          <w:bCs/>
          <w:color w:val="5E7C99"/>
          <w:sz w:val="24"/>
          <w:szCs w:val="24"/>
        </w:rPr>
        <w:t xml:space="preserve">6.3 Module 3: task training</w:t>
      </w:r>
    </w:p>
    <w:p>
      <w:pPr>
        <w:spacing w:before="0" w:after="120" w:line="276"/>
      </w:pPr>
      <w:r>
        <w:rPr>
          <w:rFonts w:ascii="Aptos" w:cs="Aptos" w:eastAsia="Aptos" w:hAnsi="Aptos"/>
          <w:color w:val="1E2833"/>
          <w:sz w:val="20"/>
          <w:szCs w:val="20"/>
        </w:rPr>
        <w:t xml:space="preserve">Task training, competency sign-off and high risk work licence verification follow SRL-CR-047 and are completed before the worker does the task unsupervised.</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7. Requirements by worker type</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00"/>
        <w:gridCol w:w="2700"/>
        <w:gridCol w:w="2900"/>
        <w:gridCol w:w="2152"/>
      </w:tblGrid>
      <w:tr>
        <w:trPr>
          <w:cantSplit/>
          <w:tblHeader/>
        </w:trPr>
        <w:tc>
          <w:tcPr>
            <w:tcW w:type="dxa" w:w="20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Who</w:t>
            </w:r>
          </w:p>
        </w:tc>
        <w:tc>
          <w:tcPr>
            <w:tcW w:type="dxa" w:w="2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Induction required</w:t>
            </w:r>
          </w:p>
        </w:tc>
        <w:tc>
          <w:tcPr>
            <w:tcW w:type="dxa" w:w="29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When and by whom</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Record</w:t>
            </w:r>
          </w:p>
        </w:tc>
      </w:tr>
      <w:tr>
        <w:trPr>
          <w:cantSplit/>
        </w:trPr>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Employees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Modules 1, 2 and 3</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Module 1 before the first shift (WHS Coordinator or delegate); Module 2 on the first shift (supervisor or lead)</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Signed induction record; SRL HR system; SRL-CR-093</w:t>
            </w:r>
          </w:p>
        </w:tc>
      </w:tr>
      <w:tr>
        <w:trPr>
          <w:cantSplit/>
        </w:trPr>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Casual employees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Modules 1, 2 and 3. Repeat Module 1 if they have not worked at the site for 6 months</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employees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As for employees</w:t>
            </w:r>
          </w:p>
        </w:tc>
      </w:tr>
      <w:tr>
        <w:trPr>
          <w:cantSplit/>
        </w:trPr>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Labour hire workers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Provider's general WHS induction; SteelRiver Modules 1, 2 and 3</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Section 7.3</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Signed induction record; SRL-CR-093; provider's records</w:t>
            </w:r>
          </w:p>
        </w:tc>
      </w:tr>
      <w:tr>
        <w:trPr>
          <w:cantSplit/>
        </w:trPr>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Contractor workers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Contractor site induction (section 7.4)</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Before entering operating areas (WHS Coordinator or delegate). Valid 12 months</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SRL-CR-077 Part B; MyOSH; SRL-CR-091</w:t>
            </w:r>
          </w:p>
        </w:tc>
      </w:tr>
      <w:tr>
        <w:trPr>
          <w:cantSplit/>
        </w:trPr>
        <w:tc>
          <w:tcPr>
            <w:tcW w:type="dxa" w:w="20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Visitors</w:t>
            </w:r>
          </w:p>
        </w:tc>
        <w:tc>
          <w:tcPr>
            <w:tcW w:type="dxa" w:w="2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Visitor safety briefing card</w:t>
            </w:r>
          </w:p>
        </w:tc>
        <w:tc>
          <w:tcPr>
            <w:tcW w:type="dxa" w:w="29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the gatehouse or reception on arrival</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Visitor register</w:t>
            </w:r>
          </w:p>
        </w:tc>
      </w:tr>
      <w:tr>
        <w:trPr>
          <w:cantSplit/>
        </w:trPr>
        <w:tc>
          <w:tcPr>
            <w:tcW w:type="dxa" w:w="20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Customer, carrier and courier drivers</w:t>
            </w:r>
          </w:p>
        </w:tc>
        <w:tc>
          <w:tcPr>
            <w:tcW w:type="dxa" w:w="2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Driver safety card</w:t>
            </w:r>
          </w:p>
        </w:tc>
        <w:tc>
          <w:tcPr>
            <w:tcW w:type="dxa" w:w="29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At the gatehouse on each visit</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Gatehouse register</w:t>
            </w:r>
          </w:p>
        </w:tc>
      </w:tr>
    </w:tbl>
    <w:p>
      <w:pPr>
        <w:keepNext/>
        <w:spacing w:before="200" w:after="80"/>
      </w:pPr>
      <w:r>
        <w:rPr>
          <w:rFonts w:ascii="Aptos Display" w:cs="Aptos Display" w:eastAsia="Aptos Display" w:hAnsi="Aptos Display"/>
          <w:b/>
          <w:bCs/>
          <w:color w:val="5E7C99"/>
          <w:sz w:val="24"/>
          <w:szCs w:val="24"/>
        </w:rPr>
        <w:t xml:space="preserve">7.1 Employees and casuals</w:t>
      </w:r>
    </w:p>
    <w:p>
      <w:pPr>
        <w:spacing w:before="0" w:after="120" w:line="276"/>
      </w:pPr>
      <w:r>
        <w:rPr>
          <w:rFonts w:ascii="Aptos" w:cs="Aptos" w:eastAsia="Aptos" w:hAnsi="Aptos"/>
          <w:color w:val="1E2833"/>
          <w:sz w:val="20"/>
          <w:szCs w:val="20"/>
        </w:rPr>
        <w:t xml:space="preserve">People and Culture books each new employee or casual into Module 1 before their first shift. The supervisor delivers Module 2 at the start of the first shift and assigns a buddy. At the end of the first week the supervisor checks in with the worker and closes any gaps in the induction record.</w:t>
      </w:r>
    </w:p>
    <w:p>
      <w:pPr>
        <w:keepNext/>
        <w:spacing w:before="200" w:after="80"/>
      </w:pPr>
      <w:r>
        <w:rPr>
          <w:rFonts w:ascii="Aptos Display" w:cs="Aptos Display" w:eastAsia="Aptos Display" w:hAnsi="Aptos Display"/>
          <w:b/>
          <w:bCs/>
          <w:color w:val="5E7C99"/>
          <w:sz w:val="24"/>
          <w:szCs w:val="24"/>
        </w:rPr>
        <w:t xml:space="preserve">7.2 Workers returning or changing area</w:t>
      </w:r>
    </w:p>
    <w:p>
      <w:pPr>
        <w:spacing w:before="0" w:after="120" w:line="276"/>
      </w:pPr>
      <w:r>
        <w:rPr>
          <w:rFonts w:ascii="Aptos" w:cs="Aptos" w:eastAsia="Aptos" w:hAnsi="Aptos"/>
          <w:color w:val="1E2833"/>
          <w:sz w:val="20"/>
          <w:szCs w:val="20"/>
        </w:rPr>
        <w:t xml:space="preserve">A worker who moves to a new work area, or returns after a long absence, completes Module 2 for the area. All workers complete a site induction refresher every 2 years, and a briefing at toolbox talks after major site changes.</w:t>
      </w:r>
    </w:p>
    <w:p>
      <w:pPr>
        <w:keepNext/>
        <w:spacing w:before="200" w:after="80"/>
      </w:pPr>
      <w:r>
        <w:rPr>
          <w:rFonts w:ascii="Aptos Display" w:cs="Aptos Display" w:eastAsia="Aptos Display" w:hAnsi="Aptos Display"/>
          <w:b/>
          <w:bCs/>
          <w:color w:val="5E7C99"/>
          <w:sz w:val="24"/>
          <w:szCs w:val="24"/>
        </w:rPr>
        <w:t xml:space="preserve">7.3 Labour hire workers</w:t>
      </w:r>
    </w:p>
    <w:p>
      <w:pPr>
        <w:pStyle w:val="ListParagraph"/>
        <w:numPr>
          <w:ilvl w:val="0"/>
          <w:numId w:val="2"/>
        </w:numPr>
        <w:spacing w:after="60" w:line="264"/>
      </w:pPr>
      <w:r>
        <w:rPr>
          <w:rFonts w:ascii="Aptos" w:cs="Aptos" w:eastAsia="Aptos" w:hAnsi="Aptos"/>
          <w:color w:val="1E2833"/>
          <w:sz w:val="20"/>
          <w:szCs w:val="20"/>
        </w:rPr>
        <w:t xml:space="preserve">The labour hire provider delivers its own general WHS induction before placement and gives the WHS Coordinator the worker's name, start date and any licence details before the first shift.</w:t>
      </w:r>
    </w:p>
    <w:p>
      <w:pPr>
        <w:pStyle w:val="ListParagraph"/>
        <w:numPr>
          <w:ilvl w:val="0"/>
          <w:numId w:val="2"/>
        </w:numPr>
        <w:spacing w:after="60" w:line="264"/>
      </w:pPr>
      <w:r>
        <w:rPr>
          <w:rFonts w:ascii="Aptos" w:cs="Aptos" w:eastAsia="Aptos" w:hAnsi="Aptos"/>
          <w:color w:val="1E2833"/>
          <w:sz w:val="20"/>
          <w:szCs w:val="20"/>
        </w:rPr>
        <w:t xml:space="preserve">Module 1 is delivered by SteelRiver, or by the labour hire provider using the SteelRiver site induction video and slides supplied by the WHS Coordinator.</w:t>
      </w:r>
    </w:p>
    <w:p>
      <w:pPr>
        <w:pStyle w:val="ListParagraph"/>
        <w:numPr>
          <w:ilvl w:val="0"/>
          <w:numId w:val="2"/>
        </w:numPr>
        <w:spacing w:after="60" w:line="264"/>
      </w:pPr>
      <w:r>
        <w:rPr>
          <w:rFonts w:ascii="Aptos" w:cs="Aptos" w:eastAsia="Aptos" w:hAnsi="Aptos"/>
          <w:color w:val="1E2833"/>
          <w:sz w:val="20"/>
          <w:szCs w:val="20"/>
        </w:rPr>
        <w:t xml:space="preserve">Module 2 is always delivered by SteelRiver on the first shift, before the worker starts work.</w:t>
      </w:r>
    </w:p>
    <w:p>
      <w:pPr>
        <w:pStyle w:val="ListParagraph"/>
        <w:numPr>
          <w:ilvl w:val="0"/>
          <w:numId w:val="2"/>
        </w:numPr>
        <w:spacing w:after="60" w:line="264"/>
      </w:pPr>
      <w:r>
        <w:rPr>
          <w:rFonts w:ascii="Aptos" w:cs="Aptos" w:eastAsia="Aptos" w:hAnsi="Aptos"/>
          <w:color w:val="1E2833"/>
          <w:sz w:val="20"/>
          <w:szCs w:val="20"/>
        </w:rPr>
        <w:t xml:space="preserve">Labour hire workers sign the daily labour hire sheet at the gatehouse on every shift.</w:t>
      </w:r>
    </w:p>
    <w:p>
      <w:pPr>
        <w:keepNext/>
        <w:spacing w:before="200" w:after="80"/>
      </w:pPr>
      <w:r>
        <w:rPr>
          <w:rFonts w:ascii="Aptos Display" w:cs="Aptos Display" w:eastAsia="Aptos Display" w:hAnsi="Aptos Display"/>
          <w:b/>
          <w:bCs/>
          <w:color w:val="5E7C99"/>
          <w:sz w:val="24"/>
          <w:szCs w:val="24"/>
        </w:rPr>
        <w:t xml:space="preserve">7.4 Contractors</w:t>
      </w:r>
    </w:p>
    <w:p>
      <w:pPr>
        <w:pStyle w:val="ListParagraph"/>
        <w:numPr>
          <w:ilvl w:val="0"/>
          <w:numId w:val="2"/>
        </w:numPr>
        <w:spacing w:after="60" w:line="264"/>
      </w:pPr>
      <w:r>
        <w:rPr>
          <w:rFonts w:ascii="Aptos" w:cs="Aptos" w:eastAsia="Aptos" w:hAnsi="Aptos"/>
          <w:color w:val="1E2833"/>
          <w:sz w:val="20"/>
          <w:szCs w:val="20"/>
        </w:rPr>
        <w:t xml:space="preserve">The contractor site induction covers the Module 1 topics that apply to contractors, the contractor site rules, sign-in and sign-out, permits to work and the requirement to work under the contractor's SWMS or JSA (SRL-CR-034).</w:t>
      </w:r>
    </w:p>
    <w:p>
      <w:pPr>
        <w:pStyle w:val="ListParagraph"/>
        <w:numPr>
          <w:ilvl w:val="0"/>
          <w:numId w:val="2"/>
        </w:numPr>
        <w:spacing w:after="60" w:line="264"/>
      </w:pPr>
      <w:r>
        <w:rPr>
          <w:rFonts w:ascii="Aptos" w:cs="Aptos" w:eastAsia="Aptos" w:hAnsi="Aptos"/>
          <w:color w:val="1E2833"/>
          <w:sz w:val="20"/>
          <w:szCs w:val="20"/>
        </w:rPr>
        <w:t xml:space="preserve">It is completed before the contractor worker enters any operating area and is valid for 12 months.</w:t>
      </w:r>
    </w:p>
    <w:p>
      <w:pPr>
        <w:pStyle w:val="ListParagraph"/>
        <w:numPr>
          <w:ilvl w:val="0"/>
          <w:numId w:val="2"/>
        </w:numPr>
        <w:spacing w:after="60" w:line="264"/>
      </w:pPr>
      <w:r>
        <w:rPr>
          <w:rFonts w:ascii="Aptos" w:cs="Aptos" w:eastAsia="Aptos" w:hAnsi="Aptos"/>
          <w:color w:val="1E2833"/>
          <w:sz w:val="20"/>
          <w:szCs w:val="20"/>
        </w:rPr>
        <w:t xml:space="preserve">Each inducted contractor worker receives a SteelRiver contractor card showing the induction date, and shows it when signing in.</w:t>
      </w:r>
    </w:p>
    <w:p>
      <w:pPr>
        <w:pStyle w:val="ListParagraph"/>
        <w:numPr>
          <w:ilvl w:val="0"/>
          <w:numId w:val="2"/>
        </w:numPr>
        <w:spacing w:after="60" w:line="264"/>
      </w:pPr>
      <w:r>
        <w:rPr>
          <w:rFonts w:ascii="Aptos" w:cs="Aptos" w:eastAsia="Aptos" w:hAnsi="Aptos"/>
          <w:color w:val="1E2833"/>
          <w:sz w:val="20"/>
          <w:szCs w:val="20"/>
        </w:rPr>
        <w:t xml:space="preserve">The SteelRiver representative briefs the contractor on the hazards of the work area before work starts.</w:t>
      </w:r>
    </w:p>
    <w:p>
      <w:pPr>
        <w:pStyle w:val="ListParagraph"/>
        <w:numPr>
          <w:ilvl w:val="0"/>
          <w:numId w:val="2"/>
        </w:numPr>
        <w:spacing w:after="60" w:line="264"/>
      </w:pPr>
      <w:r>
        <w:rPr>
          <w:rFonts w:ascii="Aptos" w:cs="Aptos" w:eastAsia="Aptos" w:hAnsi="Aptos"/>
          <w:color w:val="1E2833"/>
          <w:sz w:val="20"/>
          <w:szCs w:val="20"/>
        </w:rPr>
        <w:t xml:space="preserve">Construction workers must also hold general construction induction training (a white card).</w:t>
      </w:r>
    </w:p>
    <w:p>
      <w:pPr>
        <w:keepNext/>
        <w:spacing w:before="200" w:after="80"/>
      </w:pPr>
      <w:r>
        <w:rPr>
          <w:rFonts w:ascii="Aptos Display" w:cs="Aptos Display" w:eastAsia="Aptos Display" w:hAnsi="Aptos Display"/>
          <w:b/>
          <w:bCs/>
          <w:color w:val="5E7C99"/>
          <w:sz w:val="24"/>
          <w:szCs w:val="24"/>
        </w:rPr>
        <w:t xml:space="preserve">7.5 Visitors and drivers</w:t>
      </w:r>
    </w:p>
    <w:p>
      <w:pPr>
        <w:pStyle w:val="ListParagraph"/>
        <w:numPr>
          <w:ilvl w:val="0"/>
          <w:numId w:val="2"/>
        </w:numPr>
        <w:spacing w:after="60" w:line="264"/>
      </w:pPr>
      <w:r>
        <w:rPr>
          <w:rFonts w:ascii="Aptos" w:cs="Aptos" w:eastAsia="Aptos" w:hAnsi="Aptos"/>
          <w:color w:val="1E2833"/>
          <w:sz w:val="20"/>
          <w:szCs w:val="20"/>
        </w:rPr>
        <w:t xml:space="preserve">Visitors sign in, read the visitor safety briefing card (alarm, exits, assembly area, PPE, reporting), wear a high-visibility vest and are escorted at all times outside the admin building.</w:t>
      </w:r>
    </w:p>
    <w:p>
      <w:pPr>
        <w:pStyle w:val="ListParagraph"/>
        <w:numPr>
          <w:ilvl w:val="0"/>
          <w:numId w:val="2"/>
        </w:numPr>
        <w:spacing w:after="60" w:line="264"/>
      </w:pPr>
      <w:r>
        <w:rPr>
          <w:rFonts w:ascii="Aptos" w:cs="Aptos" w:eastAsia="Aptos" w:hAnsi="Aptos"/>
          <w:color w:val="1E2833"/>
          <w:sz w:val="20"/>
          <w:szCs w:val="20"/>
        </w:rPr>
        <w:t xml:space="preserve">Drivers sign in at the gatehouse, read the driver safety card, follow the yard traffic rules and stay with their vehicle or in the driver waiting area unless directed by SteelRiver staff.</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8. Language and literacy support</w:t>
      </w:r>
    </w:p>
    <w:p>
      <w:pPr>
        <w:spacing w:before="0" w:after="120" w:line="276"/>
      </w:pPr>
      <w:r>
        <w:rPr>
          <w:rFonts w:ascii="Aptos" w:cs="Aptos" w:eastAsia="Aptos" w:hAnsi="Aptos"/>
          <w:color w:val="1E2833"/>
          <w:sz w:val="20"/>
          <w:szCs w:val="20"/>
        </w:rPr>
        <w:t xml:space="preserve">The site induction video and slides are in English. Before Module 1 the person delivering it asks whether the worker would like language support. On request, People and Culture arranges:</w:t>
      </w:r>
    </w:p>
    <w:p>
      <w:pPr>
        <w:pStyle w:val="ListParagraph"/>
        <w:numPr>
          <w:ilvl w:val="0"/>
          <w:numId w:val="2"/>
        </w:numPr>
        <w:spacing w:after="60" w:line="264"/>
      </w:pPr>
      <w:r>
        <w:rPr>
          <w:rFonts w:ascii="Aptos" w:cs="Aptos" w:eastAsia="Aptos" w:hAnsi="Aptos"/>
          <w:color w:val="1E2833"/>
          <w:sz w:val="20"/>
          <w:szCs w:val="20"/>
        </w:rPr>
        <w:t xml:space="preserve">an interpreter (TIS National) for the induction</w:t>
      </w:r>
    </w:p>
    <w:p>
      <w:pPr>
        <w:pStyle w:val="ListParagraph"/>
        <w:numPr>
          <w:ilvl w:val="0"/>
          <w:numId w:val="2"/>
        </w:numPr>
        <w:spacing w:after="60" w:line="264"/>
      </w:pPr>
      <w:r>
        <w:rPr>
          <w:rFonts w:ascii="Aptos" w:cs="Aptos" w:eastAsia="Aptos" w:hAnsi="Aptos"/>
          <w:color w:val="1E2833"/>
          <w:sz w:val="20"/>
          <w:szCs w:val="20"/>
        </w:rPr>
        <w:t xml:space="preserve">a bilingual buddy or language lead from the same crew</w:t>
      </w:r>
    </w:p>
    <w:p>
      <w:pPr>
        <w:pStyle w:val="ListParagraph"/>
        <w:numPr>
          <w:ilvl w:val="0"/>
          <w:numId w:val="2"/>
        </w:numPr>
        <w:spacing w:after="60" w:line="264"/>
      </w:pPr>
      <w:r>
        <w:rPr>
          <w:rFonts w:ascii="Aptos" w:cs="Aptos" w:eastAsia="Aptos" w:hAnsi="Aptos"/>
          <w:color w:val="1E2833"/>
          <w:sz w:val="20"/>
          <w:szCs w:val="20"/>
        </w:rPr>
        <w:t xml:space="preserve">a translated or pictographic summary of the key site rules.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9. Confirming understanding and records</w:t>
      </w:r>
    </w:p>
    <w:p>
      <w:pPr>
        <w:pStyle w:val="ListParagraph"/>
        <w:numPr>
          <w:ilvl w:val="0"/>
          <w:numId w:val="2"/>
        </w:numPr>
        <w:spacing w:after="60" w:line="264"/>
      </w:pPr>
      <w:r>
        <w:rPr>
          <w:rFonts w:ascii="Aptos" w:cs="Aptos" w:eastAsia="Aptos" w:hAnsi="Aptos"/>
          <w:color w:val="1E2833"/>
          <w:sz w:val="20"/>
          <w:szCs w:val="20"/>
        </w:rPr>
        <w:t xml:space="preserve">After Module 1 the worker completes the induction questionnaire and signs the induction record to confirm they understood the content.</w:t>
      </w:r>
    </w:p>
    <w:p>
      <w:pPr>
        <w:pStyle w:val="ListParagraph"/>
        <w:numPr>
          <w:ilvl w:val="0"/>
          <w:numId w:val="2"/>
        </w:numPr>
        <w:spacing w:after="60" w:line="264"/>
      </w:pPr>
      <w:r>
        <w:rPr>
          <w:rFonts w:ascii="Aptos" w:cs="Aptos" w:eastAsia="Aptos" w:hAnsi="Aptos"/>
          <w:color w:val="1E2833"/>
          <w:sz w:val="20"/>
          <w:szCs w:val="20"/>
        </w:rPr>
        <w:t xml:space="preserve">Module 2 is recorded on the same record and signed by the supervisor or lead.</w:t>
      </w:r>
    </w:p>
    <w:p>
      <w:pPr>
        <w:pStyle w:val="ListParagraph"/>
        <w:numPr>
          <w:ilvl w:val="0"/>
          <w:numId w:val="2"/>
        </w:numPr>
        <w:spacing w:after="60" w:line="264"/>
      </w:pPr>
      <w:r>
        <w:rPr>
          <w:rFonts w:ascii="Aptos" w:cs="Aptos" w:eastAsia="Aptos" w:hAnsi="Aptos"/>
          <w:color w:val="1E2833"/>
          <w:sz w:val="20"/>
          <w:szCs w:val="20"/>
        </w:rPr>
        <w:t xml:space="preserve">Induction records are entered in SRL-CR-093 Training, Induction and HRWL Register (and, for contractors, in MyOSH and SRL-CR-091) within 2 business days and kept for at least 5 years after the person leaves (SRL-CR-019).</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10. Monitoring and review</w:t>
      </w:r>
    </w:p>
    <w:p>
      <w:pPr>
        <w:spacing w:before="0" w:after="120" w:line="276"/>
      </w:pPr>
      <w:r>
        <w:rPr>
          <w:rFonts w:ascii="Aptos" w:cs="Aptos" w:eastAsia="Aptos" w:hAnsi="Aptos"/>
          <w:color w:val="1E2833"/>
          <w:sz w:val="20"/>
          <w:szCs w:val="20"/>
        </w:rPr>
        <w:t xml:space="preserve">The WHS Coordinator reports each month to the DC Manager on the percentage of new workers and contractor workers inducted before their first shift or entry (target 100%). The induction content is reviewed every 12 months and whenever the site layout, emergency arrangements or site rules change. This procedure is reviewed every 24 months.</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11. Related documents</w:t>
      </w:r>
    </w:p>
    <w:p>
      <w:pPr>
        <w:pStyle w:val="ListParagraph"/>
        <w:numPr>
          <w:ilvl w:val="0"/>
          <w:numId w:val="2"/>
        </w:numPr>
        <w:spacing w:after="60" w:line="264"/>
      </w:pPr>
      <w:r>
        <w:rPr>
          <w:rFonts w:ascii="Aptos" w:cs="Aptos" w:eastAsia="Aptos" w:hAnsi="Aptos"/>
          <w:color w:val="1E2833"/>
          <w:sz w:val="20"/>
          <w:szCs w:val="20"/>
        </w:rPr>
        <w:t xml:space="preserve">SRL-CR-033 Consultation, Cooperation and Coordination with Other PCBUs Procedure; SRL-CR-034 Contractor WHS Management Procedure</w:t>
      </w:r>
    </w:p>
    <w:p>
      <w:pPr>
        <w:pStyle w:val="ListParagraph"/>
        <w:numPr>
          <w:ilvl w:val="0"/>
          <w:numId w:val="2"/>
        </w:numPr>
        <w:spacing w:after="60" w:line="264"/>
      </w:pPr>
      <w:r>
        <w:rPr>
          <w:rFonts w:ascii="Aptos" w:cs="Aptos" w:eastAsia="Aptos" w:hAnsi="Aptos"/>
          <w:color w:val="1E2833"/>
          <w:sz w:val="20"/>
          <w:szCs w:val="20"/>
        </w:rPr>
        <w:t xml:space="preserve">SRL-CR-035 Incident Reporting and Investigation Procedure; SRL-CR-036 Emergency Response and Evacuation Procedures, Perth DC</w:t>
      </w:r>
    </w:p>
    <w:p>
      <w:pPr>
        <w:pStyle w:val="ListParagraph"/>
        <w:numPr>
          <w:ilvl w:val="0"/>
          <w:numId w:val="2"/>
        </w:numPr>
        <w:spacing w:after="60" w:line="264"/>
      </w:pPr>
      <w:r>
        <w:rPr>
          <w:rFonts w:ascii="Aptos" w:cs="Aptos" w:eastAsia="Aptos" w:hAnsi="Aptos"/>
          <w:color w:val="1E2833"/>
          <w:sz w:val="20"/>
          <w:szCs w:val="20"/>
        </w:rPr>
        <w:t xml:space="preserve">SRL-CR-041 Manual Handling Safe Operating Procedure; SRL-CR-043 Traffic Management Procedure and Plan, Perth DC</w:t>
      </w:r>
    </w:p>
    <w:p>
      <w:pPr>
        <w:pStyle w:val="ListParagraph"/>
        <w:numPr>
          <w:ilvl w:val="0"/>
          <w:numId w:val="2"/>
        </w:numPr>
        <w:spacing w:after="60" w:line="264"/>
      </w:pPr>
      <w:r>
        <w:rPr>
          <w:rFonts w:ascii="Aptos" w:cs="Aptos" w:eastAsia="Aptos" w:hAnsi="Aptos"/>
          <w:color w:val="1E2833"/>
          <w:sz w:val="20"/>
          <w:szCs w:val="20"/>
        </w:rPr>
        <w:t xml:space="preserve">SRL-CR-047 Training, Competency and High Risk Work Licence Procedure</w:t>
      </w:r>
    </w:p>
    <w:p>
      <w:pPr>
        <w:pStyle w:val="ListParagraph"/>
        <w:numPr>
          <w:ilvl w:val="0"/>
          <w:numId w:val="2"/>
        </w:numPr>
        <w:spacing w:after="60" w:line="264"/>
      </w:pPr>
      <w:r>
        <w:rPr>
          <w:rFonts w:ascii="Aptos" w:cs="Aptos" w:eastAsia="Aptos" w:hAnsi="Aptos"/>
          <w:color w:val="1E2833"/>
          <w:sz w:val="20"/>
          <w:szCs w:val="20"/>
        </w:rPr>
        <w:t xml:space="preserve">SRL-CR-077 Contractor Prequalification Questionnaire and Site Induction Checklist; SRL-CR-091 Contractor Register and Prequalification Status; SRL-CR-093 Training, Induction and HRWL Register Extract, Perth DC</w:t>
      </w:r>
    </w:p>
    <w:p>
      <w:pPr>
        <w:keepNext/>
        <w:pBdr>
          <w:left w:val="single" w:color="5E7C99" w:sz="36" w:space="10"/>
        </w:pBdr>
        <w:spacing w:before="320" w:after="140"/>
        <w:ind w:left="200"/>
      </w:pPr>
      <w:r>
        <w:rPr>
          <w:rFonts w:ascii="Aptos Display" w:cs="Aptos Display" w:eastAsia="Aptos Display" w:hAnsi="Aptos Display"/>
          <w:b/>
          <w:bCs/>
          <w:color w:val="013056"/>
          <w:sz w:val="30"/>
          <w:szCs w:val="30"/>
        </w:rPr>
        <w:t xml:space="preserve">Document history</w:t>
      </w:r>
    </w:p>
    <w:tbl>
      <w:tblPr>
        <w:tblW w:type="dxa" w:w="9752"/>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100"/>
        <w:gridCol w:w="1700"/>
        <w:gridCol w:w="4800"/>
        <w:gridCol w:w="2152"/>
      </w:tblGrid>
      <w:tr>
        <w:trPr>
          <w:cantSplit/>
          <w:tblHeader/>
        </w:trPr>
        <w:tc>
          <w:tcPr>
            <w:tcW w:type="dxa" w:w="11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Version</w:t>
            </w:r>
          </w:p>
        </w:tc>
        <w:tc>
          <w:tcPr>
            <w:tcW w:type="dxa" w:w="17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Date</w:t>
            </w:r>
          </w:p>
        </w:tc>
        <w:tc>
          <w:tcPr>
            <w:tcW w:type="dxa" w:w="4800"/>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Summary of change</w:t>
            </w:r>
          </w:p>
        </w:tc>
        <w:tc>
          <w:tcPr>
            <w:tcW w:type="dxa" w:w="2152"/>
            <w:tcBorders>
              <w:top w:val="single" w:color="013056" w:sz="4"/>
              <w:left w:val="single" w:color="C5D2DE" w:sz="4"/>
              <w:bottom w:val="single" w:color="C5D2DE" w:sz="4"/>
              <w:right w:val="single" w:color="C5D2DE" w:sz="4"/>
            </w:tcBorders>
            <w:shd w:fill="013056" w:color="auto" w:val="clear"/>
            <w:tcMar>
              <w:top w:type="dxa" w:w="70"/>
              <w:left w:type="dxa" w:w="120"/>
              <w:bottom w:type="dxa" w:w="70"/>
              <w:right w:type="dxa" w:w="120"/>
            </w:tcMar>
            <w:vAlign w:val="top"/>
          </w:tcPr>
          <w:p>
            <w:pPr>
              <w:spacing w:after="30" w:line="252"/>
            </w:pPr>
            <w:r>
              <w:rPr>
                <w:rFonts w:ascii="Aptos" w:cs="Aptos" w:eastAsia="Aptos" w:hAnsi="Aptos"/>
                <w:b/>
                <w:bCs/>
                <w:color w:val="FFFFFF"/>
                <w:sz w:val="18"/>
                <w:szCs w:val="18"/>
              </w:rPr>
              <w:t xml:space="preserve">Approved by</w:t>
            </w:r>
          </w:p>
        </w:tc>
      </w:tr>
      <w:tr>
        <w:trPr>
          <w:cantSplit/>
        </w:trPr>
        <w:tc>
          <w:tcPr>
            <w:tcW w:type="dxa" w:w="11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1.1</w:t>
            </w:r>
          </w:p>
        </w:tc>
        <w:tc>
          <w:tcPr>
            <w:tcW w:type="dxa" w:w="17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 July 2026</w:t>
            </w:r>
          </w:p>
        </w:tc>
        <w:tc>
          <w:tcPr>
            <w:tcW w:type="dxa" w:w="4800"/>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Added the labour hire section, casual re-induction after 6 months, the buddy for the first five shifts and language support on request.</w:t>
            </w:r>
          </w:p>
        </w:tc>
        <w:tc>
          <w:tcPr>
            <w:tcW w:type="dxa" w:w="2152"/>
            <w:tcBorders>
              <w:top w:val="single" w:color="C5D2DE" w:sz="4"/>
              <w:left w:val="single" w:color="C5D2DE" w:sz="4"/>
              <w:bottom w:val="single" w:color="C5D2DE" w:sz="4"/>
              <w:right w:val="single" w:color="C5D2DE" w:sz="4"/>
            </w:tcBorders>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r>
        <w:trPr>
          <w:cantSplit/>
        </w:trPr>
        <w:tc>
          <w:tcPr>
            <w:tcW w:type="dxa" w:w="11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1.0</w:t>
            </w:r>
          </w:p>
        </w:tc>
        <w:tc>
          <w:tcPr>
            <w:tcW w:type="dxa" w:w="17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17 November 2025</w:t>
            </w:r>
          </w:p>
        </w:tc>
        <w:tc>
          <w:tcPr>
            <w:tcW w:type="dxa" w:w="4800"/>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First issue as one national induction procedure, combining WHS-038, WHS-028 and the induction section of WHS-018.</w:t>
            </w:r>
          </w:p>
        </w:tc>
        <w:tc>
          <w:tcPr>
            <w:tcW w:type="dxa" w:w="2152"/>
            <w:tcBorders>
              <w:top w:val="single" w:color="C5D2DE" w:sz="4"/>
              <w:left w:val="single" w:color="C5D2DE" w:sz="4"/>
              <w:bottom w:val="single" w:color="C5D2DE" w:sz="4"/>
              <w:right w:val="single" w:color="C5D2DE" w:sz="4"/>
            </w:tcBorders>
            <w:shd w:fill="F6F8FA" w:color="auto" w:val="clear"/>
            <w:tcMar>
              <w:top w:type="dxa" w:w="70"/>
              <w:left w:type="dxa" w:w="120"/>
              <w:bottom w:type="dxa" w:w="70"/>
              <w:right w:type="dxa" w:w="120"/>
            </w:tcMar>
            <w:vAlign w:val="top"/>
          </w:tcPr>
          <w:p>
            <w:pPr>
              <w:spacing w:after="30" w:line="252"/>
            </w:pPr>
            <w:r>
              <w:rPr>
                <w:rFonts w:ascii="Aptos" w:cs="Aptos" w:eastAsia="Aptos" w:hAnsi="Aptos"/>
                <w:color w:val="1E2833"/>
                <w:sz w:val="20"/>
                <w:szCs w:val="20"/>
              </w:rPr>
              <w:t xml:space="preserve">Priya Sharma</w:t>
            </w:r>
          </w:p>
        </w:tc>
      </w:tr>
    </w:tbl>
    <w:sectPr>
      <w:headerReference w:type="default" r:id="rId6"/>
      <w:headerReference w:type="first" r:id="rId7"/>
      <w:footerReference w:type="default" r:id="rId8"/>
      <w:footerReference w:type="first" r:id="rId9"/>
      <w:pgSz w:w="11906" w:h="16838" w:orient="portrait"/>
      <w:pgMar w:top="1000" w:right="1077" w:bottom="1100" w:left="1077" w:header="480" w:footer="400" w:gutter="0"/>
      <w:pgNumType/>
      <w:titlePg/>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SRL-CR-048 Version 1.1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5D2DE" w:sz="4" w:space="6"/>
      </w:pBdr>
      <w:tabs>
        <w:tab w:val="right" w:pos="9752"/>
      </w:tabs>
    </w:pPr>
    <w:r>
      <w:rPr>
        <w:rFonts w:ascii="Aptos" w:cs="Aptos" w:eastAsia="Aptos" w:hAnsi="Aptos"/>
        <w:color w:val="5F6B77"/>
        <w:sz w:val="14"/>
        <w:szCs w:val="14"/>
      </w:rPr>
      <w:t xml:space="preserve">SteelRiver Logistics Pty Ltd  ·  SRL-CR-048 Version 1.1  ·  Uncontrolled when printed</w:t>
    </w:r>
    <w:r>
      <w:rPr>
        <w:rFonts w:ascii="Aptos" w:cs="Aptos" w:eastAsia="Aptos" w:hAnsi="Aptos"/>
        <w:color w:val="013056"/>
        <w:sz w:val="14"/>
        <w:szCs w:val="14"/>
      </w:rPr>
      <w:t xml:space="preserve">	Page </w:t>
    </w:r>
    <w:r>
      <w:rPr>
        <w:rFonts w:ascii="Aptos" w:cs="Aptos" w:eastAsia="Aptos" w:hAnsi="Aptos"/>
        <w:b/>
        <w:bCs/>
        <w:color w:val="013056"/>
        <w:sz w:val="14"/>
        <w:szCs w:val="14"/>
      </w:rPr>
      <w:fldChar w:fldCharType="begin"/>
      <w:instrText xml:space="preserve">PAGE</w:instrText>
      <w:fldChar w:fldCharType="separate"/>
      <w:fldChar w:fldCharType="end"/>
    </w:r>
    <w:r>
      <w:rPr>
        <w:rFonts w:ascii="Aptos" w:cs="Aptos" w:eastAsia="Aptos" w:hAnsi="Aptos"/>
        <w:color w:val="013056"/>
        <w:sz w:val="14"/>
        <w:szCs w:val="14"/>
      </w:rPr>
      <w:t xml:space="preserve"> of </w:t>
    </w:r>
    <w:r>
      <w:rPr>
        <w:rFonts w:ascii="Aptos" w:cs="Aptos" w:eastAsia="Aptos" w:hAnsi="Aptos"/>
        <w:b/>
        <w:bCs/>
        <w:color w:val="013056"/>
        <w:sz w:val="14"/>
        <w:szCs w:val="14"/>
      </w:rPr>
      <w:fldChar w:fldCharType="begin"/>
      <w:instrText xml:space="preserve">NUMPAGES</w:instrText>
      <w:fldChar w:fldCharType="separate"/>
      <w:fldChar w:fldCharType="end"/>
    </w:r>
  </w:p>
  <w:p>
    <w:pPr>
      <w:spacing w:before="0" w:after="0" w:line="276"/>
    </w:pPr>
    <w:r>
      <w:rPr>
        <w:rFonts w:ascii="Aptos" w:cs="Aptos" w:eastAsia="Aptos" w:hAnsi="Aptos"/>
        <w:i/>
        <w:iCs/>
        <w:color w:val="5E7C99"/>
        <w:sz w:val="13"/>
        <w:szCs w:val="13"/>
      </w:rPr>
      <w:t xml:space="preserve">Simulated organisation. Created by Training Worx Australia (RTO 52508) for assessment purposes only.</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013056" w:sz="6" w:space="6"/>
      </w:pBdr>
      <w:tabs>
        <w:tab w:val="right" w:pos="9752"/>
      </w:tabs>
    </w:pPr>
    <w:r>
      <w:drawing>
        <wp:inline distT="0" distB="0" distL="0" distR="0">
          <wp:extent cx="161925" cy="190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61925" cy="190500"/>
                  </a:xfrm>
                  <a:prstGeom prst="rect">
                    <a:avLst/>
                  </a:prstGeom>
                </pic:spPr>
              </pic:pic>
            </a:graphicData>
          </a:graphic>
        </wp:inline>
      </w:drawing>
    </w:r>
    <w:r>
      <w:rPr>
        <w:rFonts w:ascii="Aptos" w:cs="Aptos" w:eastAsia="Aptos" w:hAnsi="Aptos"/>
        <w:b/>
        <w:bCs/>
        <w:color w:val="013056"/>
        <w:sz w:val="17"/>
        <w:szCs w:val="17"/>
      </w:rPr>
      <w:t xml:space="preserve">  SteelRiver Logistics</w:t>
    </w:r>
    <w:r>
      <w:rPr>
        <w:rFonts w:ascii="Aptos" w:cs="Aptos" w:eastAsia="Aptos" w:hAnsi="Aptos"/>
        <w:color w:val="5F6B77"/>
        <w:sz w:val="16"/>
        <w:szCs w:val="16"/>
      </w:rPr>
      <w:t xml:space="preserve">	SRL-CR-048  ·  Induction Procedure (employees, casuals, labour hire, contractors, visitors)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5E7C99"/>
        <w:sz w:val="14"/>
        <w:szCs w:val="14"/>
      </w:rPr>
    </w:lvl>
    <w:lvl w:ilvl="1" w15:tentative="1">
      <w:start w:val="1"/>
      <w:numFmt w:val="bullet"/>
      <w:lvlText w:val="–"/>
      <w:lvlJc w:val="left"/>
      <w:pPr>
        <w:ind w:left="720" w:hanging="260"/>
      </w:pPr>
      <w:rPr>
        <w:color w:val="5E7C99"/>
      </w:rPr>
    </w:lvl>
  </w:abstractNum>
  <w:abstractNum w:abstractNumId="3" w15:restartNumberingAfterBreak="0">
    <w:multiLevelType w:val="hybridMultilevel"/>
    <w:lvl w:ilvl="0" w15:tentative="1">
      <w:start w:val="1"/>
      <w:numFmt w:val="decimal"/>
      <w:lvlText w:val="%1."/>
      <w:lvlJc w:val="left"/>
      <w:pPr>
        <w:ind w:left="400" w:hanging="300"/>
      </w:pPr>
      <w:rPr>
        <w:b/>
        <w:bCs/>
        <w:color w:val="013056"/>
      </w:r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cs="Aptos" w:eastAsia="Aptos" w:hAnsi="Aptos"/>
        <w:color w:val="1E2833"/>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image" Target="media/f0f522d953708057eaf47c9f07cc03c6d7f53fc0.png"/><Relationship Id="rId11"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58cfb3180d16a8eee545abda86cd4375cdc466e6.png"/></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SRL-CR-048 Induction Procedure (employees, casuals, labour hire, contractors, visitors)</dc:title>
  <dc:creator>SteelRiver Logistics Pty Ltd</dc:creator>
  <cp:lastModifiedBy>Un-named</cp:lastModifiedBy>
  <cp:revision>1</cp:revision>
  <dcterms:created xsi:type="dcterms:W3CDTF">2026-10-28T08:26:12.521Z</dcterms:created>
  <dcterms:modified xsi:type="dcterms:W3CDTF">2026-10-28T08:26:12.521Z</dcterms:modified>
</cp:coreProperties>
</file>

<file path=docProps/custom.xml><?xml version="1.0" encoding="utf-8"?>
<Properties xmlns="http://schemas.openxmlformats.org/officeDocument/2006/custom-properties" xmlns:vt="http://schemas.openxmlformats.org/officeDocument/2006/docPropsVTypes"/>
</file>