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PROCEDURE</w:t>
            </w:r>
          </w:p>
          <w:p>
            <w:pPr>
              <w:spacing w:after="0"/>
              <w:jc w:val="right"/>
            </w:pPr>
            <w:r>
              <w:rPr>
                <w:rFonts w:ascii="Aptos Display" w:cs="Aptos Display" w:eastAsia="Aptos Display" w:hAnsi="Aptos Display"/>
                <w:b/>
                <w:bCs/>
                <w:color w:val="013056"/>
                <w:sz w:val="36"/>
                <w:szCs w:val="36"/>
              </w:rPr>
              <w:t xml:space="preserve">SRL-CR-053</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Employee Assistance Program and Wellbeing Support Procedure</w:t>
      </w:r>
    </w:p>
    <w:p>
      <w:pPr>
        <w:spacing w:before="0" w:after="160" w:line="276"/>
      </w:pPr>
      <w:r>
        <w:rPr>
          <w:rFonts w:ascii="Aptos" w:cs="Aptos" w:eastAsia="Aptos" w:hAnsi="Aptos"/>
          <w:color w:val="5E7C99"/>
          <w:sz w:val="24"/>
          <w:szCs w:val="24"/>
        </w:rPr>
        <w:t xml:space="preserve">Confidential counselling, critical incident support and other wellbeing support for SteelRiver workers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SRL-CR-053</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2.0</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Lila Petrov, Head of People and Culture</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September 2026</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Lila Petrov, Head of People and Culture, with Priya Sharma, 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September 2028</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SteelRiver sites and workers, including casual and labour hire workers</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Purpose</w:t>
      </w:r>
    </w:p>
    <w:p>
      <w:pPr>
        <w:spacing w:before="0" w:after="120" w:line="276"/>
      </w:pPr>
      <w:r>
        <w:rPr>
          <w:rFonts w:ascii="Aptos" w:cs="Aptos" w:eastAsia="Aptos" w:hAnsi="Aptos"/>
          <w:color w:val="1E2833"/>
          <w:sz w:val="20"/>
          <w:szCs w:val="20"/>
        </w:rPr>
        <w:t xml:space="preserve">SteelRiver Logistics Pty Ltd (SteelRiver) wants every worker to be able to get confidential help early, whether a problem starts at work or at home. This procedure explains the Employee Assistance Program (EAP), how workers and managers use it, how SteelRiver supports workers after a critical incident, and how EAP information is reported without identifying anyone.</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F2A900" w:sz="30"/>
              <w:bottom w:val="none" w:color="FFFFFF" w:sz="0"/>
              <w:right w:val="none" w:color="FFFFFF" w:sz="0"/>
            </w:tcBorders>
            <w:shd w:fill="EAF0F5" w:color="auto" w:val="clear"/>
            <w:tcMar>
              <w:top w:type="dxa" w:w="140"/>
              <w:left w:type="dxa" w:w="220"/>
              <w:bottom w:type="dxa" w:w="100"/>
              <w:right w:type="dxa" w:w="200"/>
            </w:tcMar>
          </w:tcPr>
          <w:p>
            <w:pPr>
              <w:spacing w:before="0" w:after="60" w:line="276"/>
            </w:pPr>
            <w:r>
              <w:rPr>
                <w:rFonts w:ascii="Aptos" w:cs="Aptos" w:eastAsia="Aptos" w:hAnsi="Aptos"/>
                <w:b/>
                <w:bCs/>
                <w:color w:val="013056"/>
                <w:sz w:val="21"/>
                <w:szCs w:val="21"/>
              </w:rPr>
              <w:t xml:space="preserve">EAP: 1800-SRL-EAP, 24 hours, 7 days</w:t>
            </w:r>
          </w:p>
          <w:p>
            <w:pPr>
              <w:spacing w:before="0" w:after="60" w:line="276"/>
            </w:pPr>
            <w:r>
              <w:rPr>
                <w:rFonts w:ascii="Aptos" w:cs="Aptos" w:eastAsia="Aptos" w:hAnsi="Aptos"/>
                <w:color w:val="1E2833"/>
                <w:sz w:val="20"/>
                <w:szCs w:val="20"/>
              </w:rPr>
              <w:t xml:space="preserve">Free and confidential counselling from an external provider, up to six sessions per issue. For all SteelRiver workers, including casuals and labour hire workers on site.</w:t>
            </w:r>
          </w:p>
          <w:p>
            <w:pPr>
              <w:spacing w:before="0" w:after="60" w:line="276"/>
            </w:pPr>
            <w:r>
              <w:rPr>
                <w:rFonts w:ascii="Aptos" w:cs="Aptos" w:eastAsia="Aptos" w:hAnsi="Aptos"/>
                <w:color w:val="1E2833"/>
                <w:sz w:val="20"/>
                <w:szCs w:val="20"/>
              </w:rPr>
              <w:t xml:space="preserve">The EAP is not the conduct hotline. To report bullying, harassment or other wrongdoing, use 1800-SRL-LINE or People and Culture. To report a WHS hazard or incident, tell your supervisor or HSR or use MyOSH.</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Scope</w:t>
      </w:r>
    </w:p>
    <w:p>
      <w:pPr>
        <w:spacing w:before="0" w:after="120" w:line="276"/>
      </w:pPr>
      <w:r>
        <w:rPr>
          <w:rFonts w:ascii="Aptos" w:cs="Aptos" w:eastAsia="Aptos" w:hAnsi="Aptos"/>
          <w:color w:val="1E2833"/>
          <w:sz w:val="20"/>
          <w:szCs w:val="20"/>
        </w:rPr>
        <w:t xml:space="preserve">This procedure applies at every SteelRiver site. The EAP is available to all SteelRiver employees (full time, part time and casual) and to labour hire workers while they are placed at a SteelRiver site. After a critical incident at a SteelRiver site, immediate support under section 7 is offered to everyone affected, including contractors' workers and visitors; their ongoing support is arranged with their own employer.</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Legal and other requirements</w:t>
      </w:r>
    </w:p>
    <w:p>
      <w:pPr>
        <w:pStyle w:val="ListParagraph"/>
        <w:numPr>
          <w:ilvl w:val="0"/>
          <w:numId w:val="2"/>
        </w:numPr>
        <w:spacing w:after="60" w:line="264"/>
      </w:pPr>
      <w:r>
        <w:rPr>
          <w:rFonts w:ascii="Aptos" w:cs="Aptos" w:eastAsia="Aptos" w:hAnsi="Aptos"/>
          <w:color w:val="1E2833"/>
          <w:sz w:val="20"/>
          <w:szCs w:val="20"/>
        </w:rPr>
        <w:t xml:space="preserve">Work Health and Safety Act 2020 (WA): the primary duty of care covers psychological as well as physical health (s.19), including providing welfare facilities and monitoring workers' health and workplace conditions; consultation with other PCBUs, such as the labour hire provider (s.46).</w:t>
      </w:r>
    </w:p>
    <w:p>
      <w:pPr>
        <w:pStyle w:val="ListParagraph"/>
        <w:numPr>
          <w:ilvl w:val="0"/>
          <w:numId w:val="2"/>
        </w:numPr>
        <w:spacing w:after="60" w:line="264"/>
      </w:pPr>
      <w:r>
        <w:rPr>
          <w:rFonts w:ascii="Aptos" w:cs="Aptos" w:eastAsia="Aptos" w:hAnsi="Aptos"/>
          <w:color w:val="1E2833"/>
          <w:sz w:val="20"/>
          <w:szCs w:val="20"/>
        </w:rPr>
        <w:t xml:space="preserve">WorkSafe WA Code of Practice: Psychosocial hazards in the workplace. Support services such as the EAP help workers who are affected, but they do not control psychosocial hazards and are used with controls, not instead of them (SRL-CR-044).</w:t>
      </w:r>
    </w:p>
    <w:p>
      <w:pPr>
        <w:pStyle w:val="ListParagraph"/>
        <w:numPr>
          <w:ilvl w:val="0"/>
          <w:numId w:val="2"/>
        </w:numPr>
        <w:spacing w:after="60" w:line="264"/>
      </w:pPr>
      <w:r>
        <w:rPr>
          <w:rFonts w:ascii="Aptos" w:cs="Aptos" w:eastAsia="Aptos" w:hAnsi="Aptos"/>
          <w:color w:val="1E2833"/>
          <w:sz w:val="20"/>
          <w:szCs w:val="20"/>
        </w:rPr>
        <w:t xml:space="preserve">Privacy Act 1988 (Cth) and SRL-CR-018 Information Privacy and Confidentiality Policy.</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The Employee Assistance Program</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blHeader/>
        </w:trPr>
        <w:tc>
          <w:tcPr>
            <w:tcW w:type="dxa" w:w="24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Feature</w:t>
            </w:r>
          </w:p>
        </w:tc>
        <w:tc>
          <w:tcPr>
            <w:tcW w:type="dxa" w:w="73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Detail</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Provider</w:t>
            </w:r>
          </w:p>
        </w:tc>
        <w:tc>
          <w:tcPr>
            <w:tcW w:type="dxa" w:w="7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 external EAP provider under a contract managed by the Head of People and Culture. The provider is independent of SteelRiver.</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How to contact</w:t>
            </w:r>
          </w:p>
        </w:tc>
        <w:tc>
          <w:tcPr>
            <w:tcW w:type="dxa" w:w="7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1800-SRL-EAP, 24 hours a day, 7 days a week, free from any phone.</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Sessions</w:t>
            </w:r>
          </w:p>
        </w:tc>
        <w:tc>
          <w:tcPr>
            <w:tcW w:type="dxa" w:w="7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Up to six free counselling sessions per issue, by phone, video or face to face (in Perth, Brisbane and Newcastle). The counsellor can refer the worker to longer-term or specialist help if needed.</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Who can use it</w:t>
            </w:r>
          </w:p>
        </w:tc>
        <w:tc>
          <w:tcPr>
            <w:tcW w:type="dxa" w:w="7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All SteelRiver workers, including casuals and labour hire workers on site.</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What it helps with</w:t>
            </w:r>
          </w:p>
        </w:tc>
        <w:tc>
          <w:tcPr>
            <w:tcW w:type="dxa" w:w="7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Work or personal matters: stress, workload, conflict, fatigue and sleep, grief, relationships, money worries, alcohol or other drugs, and the effects of a workplace incident or aggression.</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Language</w:t>
            </w:r>
          </w:p>
        </w:tc>
        <w:tc>
          <w:tcPr>
            <w:tcW w:type="dxa" w:w="7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provider arranges a telephone interpreter at no cost to the worker.</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Confidentiality</w:t>
            </w:r>
          </w:p>
        </w:tc>
        <w:tc>
          <w:tcPr>
            <w:tcW w:type="dxa" w:w="7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SteelRiver is never told who has used the EAP or what was discussed, unless the worker agrees or there is a serious and imminent risk to someone's life or safety.</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Critical incident support</w:t>
            </w:r>
          </w:p>
        </w:tc>
        <w:tc>
          <w:tcPr>
            <w:tcW w:type="dxa" w:w="7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Included in the contract (section 7).</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Making sure workers know about the EAP</w:t>
      </w:r>
    </w:p>
    <w:p>
      <w:pPr>
        <w:pStyle w:val="ListParagraph"/>
        <w:numPr>
          <w:ilvl w:val="0"/>
          <w:numId w:val="2"/>
        </w:numPr>
        <w:spacing w:after="60" w:line="264"/>
      </w:pPr>
      <w:r>
        <w:rPr>
          <w:rFonts w:ascii="Aptos" w:cs="Aptos" w:eastAsia="Aptos" w:hAnsi="Aptos"/>
          <w:color w:val="1E2833"/>
          <w:sz w:val="20"/>
          <w:szCs w:val="20"/>
        </w:rPr>
        <w:t xml:space="preserve">Every new worker, including every labour hire worker, is told about the EAP at induction and given an EAP card with the number (SRL-CR-048). This applies to every induction, including inductions run at short notice or for groups of new starters.</w:t>
      </w:r>
    </w:p>
    <w:p>
      <w:pPr>
        <w:pStyle w:val="ListParagraph"/>
        <w:numPr>
          <w:ilvl w:val="0"/>
          <w:numId w:val="2"/>
        </w:numPr>
        <w:spacing w:after="60" w:line="264"/>
      </w:pPr>
      <w:r>
        <w:rPr>
          <w:rFonts w:ascii="Aptos" w:cs="Aptos" w:eastAsia="Aptos" w:hAnsi="Aptos"/>
          <w:color w:val="1E2833"/>
          <w:sz w:val="20"/>
          <w:szCs w:val="20"/>
        </w:rPr>
        <w:t xml:space="preserve">EAP posters are displayed in every crib room and at the gatehouse.</w:t>
      </w:r>
    </w:p>
    <w:p>
      <w:pPr>
        <w:pStyle w:val="ListParagraph"/>
        <w:numPr>
          <w:ilvl w:val="0"/>
          <w:numId w:val="2"/>
        </w:numPr>
        <w:spacing w:after="60" w:line="264"/>
      </w:pPr>
      <w:r>
        <w:rPr>
          <w:rFonts w:ascii="Aptos" w:cs="Aptos" w:eastAsia="Aptos" w:hAnsi="Aptos"/>
          <w:color w:val="1E2833"/>
          <w:sz w:val="20"/>
          <w:szCs w:val="20"/>
        </w:rPr>
        <w:t xml:space="preserve">Supervisors include the EAP in psychosocial toolbox talks and remind crews of it after any distressing event.</w:t>
      </w:r>
    </w:p>
    <w:p>
      <w:pPr>
        <w:pStyle w:val="ListParagraph"/>
        <w:numPr>
          <w:ilvl w:val="0"/>
          <w:numId w:val="2"/>
        </w:numPr>
        <w:spacing w:after="60" w:line="264"/>
      </w:pPr>
      <w:r>
        <w:rPr>
          <w:rFonts w:ascii="Aptos" w:cs="Aptos" w:eastAsia="Aptos" w:hAnsi="Aptos"/>
          <w:color w:val="1E2833"/>
          <w:sz w:val="20"/>
          <w:szCs w:val="20"/>
        </w:rPr>
        <w:t xml:space="preserve">The EAP number is on the emergency contacts sheet and in the incident response plan (SRL-CR-035).</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6. Using the EAP</w:t>
      </w:r>
    </w:p>
    <w:p>
      <w:pPr>
        <w:keepNext/>
        <w:spacing w:before="200" w:after="80"/>
      </w:pPr>
      <w:r>
        <w:rPr>
          <w:rFonts w:ascii="Aptos Display" w:cs="Aptos Display" w:eastAsia="Aptos Display" w:hAnsi="Aptos Display"/>
          <w:b/>
          <w:bCs/>
          <w:color w:val="5E7C99"/>
          <w:sz w:val="24"/>
          <w:szCs w:val="24"/>
        </w:rPr>
        <w:t xml:space="preserve">6.1 Self-referral</w:t>
      </w:r>
    </w:p>
    <w:p>
      <w:pPr>
        <w:spacing w:before="0" w:after="120" w:line="276"/>
      </w:pPr>
      <w:r>
        <w:rPr>
          <w:rFonts w:ascii="Aptos" w:cs="Aptos" w:eastAsia="Aptos" w:hAnsi="Aptos"/>
          <w:color w:val="1E2833"/>
          <w:sz w:val="20"/>
          <w:szCs w:val="20"/>
        </w:rPr>
        <w:t xml:space="preserve">Any worker can call 1800-SRL-EAP at any time. They do not need to tell anyone at SteelRiver. Sessions can be booked outside working hours, or in working hours with the supervisor's agreement without giving a reason.</w:t>
      </w:r>
    </w:p>
    <w:p>
      <w:pPr>
        <w:keepNext/>
        <w:spacing w:before="200" w:after="80"/>
      </w:pPr>
      <w:r>
        <w:rPr>
          <w:rFonts w:ascii="Aptos Display" w:cs="Aptos Display" w:eastAsia="Aptos Display" w:hAnsi="Aptos Display"/>
          <w:b/>
          <w:bCs/>
          <w:color w:val="5E7C99"/>
          <w:sz w:val="24"/>
          <w:szCs w:val="24"/>
        </w:rPr>
        <w:t xml:space="preserve">6.2 Manager referral</w:t>
      </w:r>
    </w:p>
    <w:p>
      <w:pPr>
        <w:spacing w:before="0" w:after="120" w:line="276"/>
      </w:pPr>
      <w:r>
        <w:rPr>
          <w:rFonts w:ascii="Aptos" w:cs="Aptos" w:eastAsia="Aptos" w:hAnsi="Aptos"/>
          <w:color w:val="1E2833"/>
          <w:sz w:val="20"/>
          <w:szCs w:val="20"/>
        </w:rPr>
        <w:t xml:space="preserve">A manager, supervisor or lead who notices that a worker seems stressed, distressed, unusually tired or not themselves:</w:t>
      </w:r>
    </w:p>
    <w:p>
      <w:pPr>
        <w:pStyle w:val="ListParagraph"/>
        <w:numPr>
          <w:ilvl w:val="0"/>
          <w:numId w:val="3"/>
        </w:numPr>
        <w:spacing w:after="60" w:line="264"/>
      </w:pPr>
      <w:r>
        <w:rPr>
          <w:rFonts w:ascii="Aptos" w:cs="Aptos" w:eastAsia="Aptos" w:hAnsi="Aptos"/>
          <w:color w:val="1E2833"/>
          <w:sz w:val="20"/>
          <w:szCs w:val="20"/>
        </w:rPr>
        <w:t xml:space="preserve">talks to the worker privately and asks how they are, without trying to diagnose</w:t>
      </w:r>
    </w:p>
    <w:p>
      <w:pPr>
        <w:pStyle w:val="ListParagraph"/>
        <w:numPr>
          <w:ilvl w:val="0"/>
          <w:numId w:val="3"/>
        </w:numPr>
        <w:spacing w:after="60" w:line="264"/>
      </w:pPr>
      <w:r>
        <w:rPr>
          <w:rFonts w:ascii="Aptos" w:cs="Aptos" w:eastAsia="Aptos" w:hAnsi="Aptos"/>
          <w:color w:val="1E2833"/>
          <w:sz w:val="20"/>
          <w:szCs w:val="20"/>
        </w:rPr>
        <w:t xml:space="preserve">suggests the EAP, gives the number or a card, and offers a private room and time to call</w:t>
      </w:r>
    </w:p>
    <w:p>
      <w:pPr>
        <w:pStyle w:val="ListParagraph"/>
        <w:numPr>
          <w:ilvl w:val="0"/>
          <w:numId w:val="3"/>
        </w:numPr>
        <w:spacing w:after="60" w:line="264"/>
      </w:pPr>
      <w:r>
        <w:rPr>
          <w:rFonts w:ascii="Aptos" w:cs="Aptos" w:eastAsia="Aptos" w:hAnsi="Aptos"/>
          <w:color w:val="1E2833"/>
          <w:sz w:val="20"/>
          <w:szCs w:val="20"/>
        </w:rPr>
        <w:t xml:space="preserve">leaves the decision to the worker: using the EAP is voluntary, and the manager is not told whether the worker called</w:t>
      </w:r>
    </w:p>
    <w:p>
      <w:pPr>
        <w:pStyle w:val="ListParagraph"/>
        <w:numPr>
          <w:ilvl w:val="0"/>
          <w:numId w:val="3"/>
        </w:numPr>
        <w:spacing w:after="60" w:line="264"/>
      </w:pPr>
      <w:r>
        <w:rPr>
          <w:rFonts w:ascii="Aptos" w:cs="Aptos" w:eastAsia="Aptos" w:hAnsi="Aptos"/>
          <w:color w:val="1E2833"/>
          <w:sz w:val="20"/>
          <w:szCs w:val="20"/>
        </w:rPr>
        <w:t xml:space="preserve">considers whether work is contributing (workload, hours, conflict, aggression) and raises it as a psychosocial hazard under SRL-CR-044, without naming the worker if they do not want to be named</w:t>
      </w:r>
    </w:p>
    <w:p>
      <w:pPr>
        <w:pStyle w:val="ListParagraph"/>
        <w:numPr>
          <w:ilvl w:val="0"/>
          <w:numId w:val="3"/>
        </w:numPr>
        <w:spacing w:after="60" w:line="264"/>
      </w:pPr>
      <w:r>
        <w:rPr>
          <w:rFonts w:ascii="Aptos" w:cs="Aptos" w:eastAsia="Aptos" w:hAnsi="Aptos"/>
          <w:color w:val="1E2833"/>
          <w:sz w:val="20"/>
          <w:szCs w:val="20"/>
        </w:rPr>
        <w:t xml:space="preserve">contacts the HR Business Partner for advice on further support (section 8).</w:t>
      </w:r>
    </w:p>
    <w:p>
      <w:pPr>
        <w:keepNext/>
        <w:spacing w:before="200" w:after="80"/>
      </w:pPr>
      <w:r>
        <w:rPr>
          <w:rFonts w:ascii="Aptos Display" w:cs="Aptos Display" w:eastAsia="Aptos Display" w:hAnsi="Aptos Display"/>
          <w:b/>
          <w:bCs/>
          <w:color w:val="5E7C99"/>
          <w:sz w:val="24"/>
          <w:szCs w:val="24"/>
        </w:rPr>
        <w:t xml:space="preserve">6.3 Fitness for work</w:t>
      </w:r>
    </w:p>
    <w:p>
      <w:pPr>
        <w:spacing w:before="0" w:after="120" w:line="276"/>
      </w:pPr>
      <w:r>
        <w:rPr>
          <w:rFonts w:ascii="Aptos" w:cs="Aptos" w:eastAsia="Aptos" w:hAnsi="Aptos"/>
          <w:color w:val="1E2833"/>
          <w:sz w:val="20"/>
          <w:szCs w:val="20"/>
        </w:rPr>
        <w:t xml:space="preserve">Using the EAP is confidential and is never a reason for disciplinary action. If a worker's wellbeing affects whether they can work safely today (for example fatigue, medication, or alcohol or other drugs), the supervisor also acts under SRL-CR-045 Fatigue Risk Management Procedure or SRL-CR-024 Alcohol and Other Drugs Policy, and moves the worker off safety-critical tasks. A worker who asks for help with alcohol or other drugs before an incident or a test is supported, not disciplined (SRL-CR-024).</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7. Critical incident support</w:t>
      </w:r>
    </w:p>
    <w:p>
      <w:pPr>
        <w:spacing w:before="0" w:after="120" w:line="276"/>
      </w:pPr>
      <w:r>
        <w:rPr>
          <w:rFonts w:ascii="Aptos" w:cs="Aptos" w:eastAsia="Aptos" w:hAnsi="Aptos"/>
          <w:color w:val="1E2833"/>
          <w:sz w:val="20"/>
          <w:szCs w:val="20"/>
        </w:rPr>
        <w:t xml:space="preserve">A critical incident is an event that is likely to be distressing for the people involved or who see or hear it, such as a serious injury or death, an assault, threat or serious aggression (including towards drivers at customer sites), a serious near miss, or an emergency evacuation in which people were at risk.</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5500"/>
        <w:gridCol w:w="2552"/>
      </w:tblGrid>
      <w:tr>
        <w:trPr>
          <w:cantSplit/>
          <w:tblHeader/>
        </w:trPr>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When</w:t>
            </w:r>
          </w:p>
        </w:tc>
        <w:tc>
          <w:tcPr>
            <w:tcW w:type="dxa" w:w="55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happens</w:t>
            </w:r>
          </w:p>
        </w:tc>
        <w:tc>
          <w:tcPr>
            <w:tcW w:type="dxa" w:w="25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w:t>
            </w:r>
          </w:p>
        </w:tc>
      </w:tr>
      <w:tr>
        <w:trPr>
          <w:cantSplit/>
        </w:trPr>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Immediately</w:t>
            </w:r>
          </w:p>
        </w:tc>
        <w:tc>
          <w:tcPr>
            <w:tcW w:type="dxa" w:w="5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Make sure affected people are safe and not left alone. Do not send a distressed worker home alone or let them drive. Give them the EAP number. Keep witnesses apart but supported (SRL-CR-035).</w:t>
            </w:r>
          </w:p>
        </w:tc>
        <w:tc>
          <w:tcPr>
            <w:tcW w:type="dxa" w:w="2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Incident controller or supervisor on duty</w:t>
            </w:r>
          </w:p>
        </w:tc>
      </w:tr>
      <w:tr>
        <w:trPr>
          <w:cantSplit/>
        </w:trPr>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Within 24 hours</w:t>
            </w:r>
          </w:p>
        </w:tc>
        <w:tc>
          <w:tcPr>
            <w:tcW w:type="dxa" w:w="5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supervisor checks in personally (in person or by phone) with each worker who was involved in or affected by the incident, on the same shift where possible and within 24 hours. This includes workers affected indirectly, such as a dispatch officer who took a distressing call.</w:t>
            </w:r>
          </w:p>
        </w:tc>
        <w:tc>
          <w:tcPr>
            <w:tcW w:type="dxa" w:w="2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 of each affected worker</w:t>
            </w:r>
          </w:p>
        </w:tc>
      </w:tr>
      <w:tr>
        <w:trPr>
          <w:cantSplit/>
        </w:trPr>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Within 24 hours</w:t>
            </w:r>
          </w:p>
        </w:tc>
        <w:tc>
          <w:tcPr>
            <w:tcW w:type="dxa" w:w="5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Head of People and Culture or the HR Business Partner arranges critical incident support through the EAP provider: phone support straight away, and a counsellor on site within 24 hours if needed. Group sessions are voluntary, and nobody is made to retell what happened.</w:t>
            </w:r>
          </w:p>
        </w:tc>
        <w:tc>
          <w:tcPr>
            <w:tcW w:type="dxa" w:w="2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Head of People and Culture or HR Business Partner</w:t>
            </w:r>
          </w:p>
        </w:tc>
      </w:tr>
      <w:tr>
        <w:trPr>
          <w:cantSplit/>
        </w:trPr>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Labour hire workers</w:t>
            </w:r>
          </w:p>
        </w:tc>
        <w:tc>
          <w:tcPr>
            <w:tcW w:type="dxa" w:w="5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labour hire provider is told so it can support its worker as well. SteelRiver support continues while the worker is on site.</w:t>
            </w:r>
          </w:p>
        </w:tc>
        <w:tc>
          <w:tcPr>
            <w:tcW w:type="dxa" w:w="2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 with the HR Business Partner</w:t>
            </w:r>
          </w:p>
        </w:tc>
      </w:tr>
      <w:tr>
        <w:trPr>
          <w:cantSplit/>
        </w:trPr>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Following week</w:t>
            </w:r>
          </w:p>
        </w:tc>
        <w:tc>
          <w:tcPr>
            <w:tcW w:type="dxa" w:w="55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second check-in with each affected worker. Watch for delayed reactions such as poor sleep, irritability or avoiding the area. Offer the EAP again and adjust duties or rosters if needed.</w:t>
            </w:r>
          </w:p>
        </w:tc>
        <w:tc>
          <w:tcPr>
            <w:tcW w:type="dxa" w:w="2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 with the HR Business Partner</w:t>
            </w:r>
          </w:p>
        </w:tc>
      </w:tr>
      <w:tr>
        <w:trPr>
          <w:cantSplit/>
        </w:trPr>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Return to work</w:t>
            </w:r>
          </w:p>
        </w:tc>
        <w:tc>
          <w:tcPr>
            <w:tcW w:type="dxa" w:w="55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 injured worker's return to work is managed under SRL-CR-058, including psychological support.</w:t>
            </w:r>
          </w:p>
        </w:tc>
        <w:tc>
          <w:tcPr>
            <w:tcW w:type="dxa" w:w="2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HR Business Partner</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8. Other wellbeing support</w:t>
      </w:r>
    </w:p>
    <w:p>
      <w:pPr>
        <w:pStyle w:val="ListParagraph"/>
        <w:numPr>
          <w:ilvl w:val="0"/>
          <w:numId w:val="2"/>
        </w:numPr>
        <w:spacing w:after="60" w:line="264"/>
      </w:pPr>
      <w:r>
        <w:rPr>
          <w:rFonts w:ascii="Aptos" w:cs="Aptos" w:eastAsia="Aptos" w:hAnsi="Aptos"/>
          <w:color w:val="1E2833"/>
          <w:sz w:val="20"/>
          <w:szCs w:val="20"/>
        </w:rPr>
        <w:t xml:space="preserve">Changes to duties, hours or rosters while a worker is going through a difficult time, agreed with the HR Business Partner.</w:t>
      </w:r>
    </w:p>
    <w:p>
      <w:pPr>
        <w:pStyle w:val="ListParagraph"/>
        <w:numPr>
          <w:ilvl w:val="0"/>
          <w:numId w:val="2"/>
        </w:numPr>
        <w:spacing w:after="60" w:line="264"/>
      </w:pPr>
      <w:r>
        <w:rPr>
          <w:rFonts w:ascii="Aptos" w:cs="Aptos" w:eastAsia="Aptos" w:hAnsi="Aptos"/>
          <w:color w:val="1E2833"/>
          <w:sz w:val="20"/>
          <w:szCs w:val="20"/>
        </w:rPr>
        <w:t xml:space="preserve">Leave options, including personal leave and leave for treatment.</w:t>
      </w:r>
    </w:p>
    <w:p>
      <w:pPr>
        <w:pStyle w:val="ListParagraph"/>
        <w:numPr>
          <w:ilvl w:val="0"/>
          <w:numId w:val="2"/>
        </w:numPr>
        <w:spacing w:after="60" w:line="264"/>
      </w:pPr>
      <w:r>
        <w:rPr>
          <w:rFonts w:ascii="Aptos" w:cs="Aptos" w:eastAsia="Aptos" w:hAnsi="Aptos"/>
          <w:color w:val="1E2833"/>
          <w:sz w:val="20"/>
          <w:szCs w:val="20"/>
        </w:rPr>
        <w:t xml:space="preserve">Injury management and return to work (SRL-CR-058).</w:t>
      </w:r>
    </w:p>
    <w:p>
      <w:pPr>
        <w:pStyle w:val="ListParagraph"/>
        <w:numPr>
          <w:ilvl w:val="0"/>
          <w:numId w:val="2"/>
        </w:numPr>
        <w:spacing w:after="60" w:line="264"/>
      </w:pPr>
      <w:r>
        <w:rPr>
          <w:rFonts w:ascii="Aptos" w:cs="Aptos" w:eastAsia="Aptos" w:hAnsi="Aptos"/>
          <w:color w:val="1E2833"/>
          <w:sz w:val="20"/>
          <w:szCs w:val="20"/>
        </w:rPr>
        <w:t xml:space="preserve">External services, which workers can call at any time: Lifeline 13 11 14; Beyond Blue 1300 22 4636. For an emergency call 000.</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9.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6952"/>
      </w:tblGrid>
      <w:tr>
        <w:trPr>
          <w:cantSplit/>
          <w:tblHeader/>
        </w:trPr>
        <w:tc>
          <w:tcPr>
            <w:tcW w:type="dxa" w:w="2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9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Head of People and Culture</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this procedure and the EAP contract. Arranges critical incident support. Receives EAP reports and protects their confidentiality as Privacy Officer.</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HR Business Partner</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First contact for managers seeking advice. Arranges critical incident support at the site. Provides de-identified EAP totals and themes to WHS staff on request (section 10).</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National WHS Manager and WHS Coordinator</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Use de-identified EAP themes with other information to identify psychosocial hazards (SRL-CR-044). Make sure the EAP is in the incident response plan and induction.</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DC Manager</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Makes sure the EAP is promoted at the site and that critical incident support happens after every critical incident.</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Supervisors and leads</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Know the EAP and how to refer. Check in with affected workers within 24 hours of a critical incident. Protect workers' privacy.</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Workers</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Look after their own wellbeing and look out for each other. Use the EAP when they need it.</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10. EAP reporting and use of data</w:t>
      </w:r>
    </w:p>
    <w:p>
      <w:pPr>
        <w:pStyle w:val="ListParagraph"/>
        <w:numPr>
          <w:ilvl w:val="0"/>
          <w:numId w:val="2"/>
        </w:numPr>
        <w:spacing w:after="60" w:line="264"/>
      </w:pPr>
      <w:r>
        <w:rPr>
          <w:rFonts w:ascii="Aptos" w:cs="Aptos" w:eastAsia="Aptos" w:hAnsi="Aptos"/>
          <w:color w:val="1E2833"/>
          <w:sz w:val="20"/>
          <w:szCs w:val="20"/>
        </w:rPr>
        <w:t xml:space="preserve">The EAP provider sends People and Culture a monthly de-identified report for each site: the number of new cases and, when there are </w:t>
      </w:r>
      <w:r>
        <w:rPr>
          <w:rFonts w:ascii="Aptos" w:cs="Aptos" w:eastAsia="Aptos" w:hAnsi="Aptos"/>
          <w:b/>
          <w:bCs/>
          <w:color w:val="1E2833"/>
          <w:sz w:val="20"/>
          <w:szCs w:val="20"/>
        </w:rPr>
        <w:t xml:space="preserve">five or more cases</w:t>
      </w:r>
      <w:r>
        <w:rPr>
          <w:rFonts w:ascii="Aptos" w:cs="Aptos" w:eastAsia="Aptos" w:hAnsi="Aptos"/>
          <w:color w:val="1E2833"/>
          <w:sz w:val="20"/>
          <w:szCs w:val="20"/>
        </w:rPr>
        <w:t xml:space="preserve">, the main themes (for example work pressure, fatigue, relationships, a critical incident). The provider never identifies a worker.</w:t>
      </w:r>
    </w:p>
    <w:p>
      <w:pPr>
        <w:pStyle w:val="ListParagraph"/>
        <w:numPr>
          <w:ilvl w:val="0"/>
          <w:numId w:val="2"/>
        </w:numPr>
        <w:spacing w:after="60" w:line="264"/>
      </w:pPr>
      <w:r>
        <w:rPr>
          <w:rFonts w:ascii="Aptos" w:cs="Aptos" w:eastAsia="Aptos" w:hAnsi="Aptos"/>
          <w:color w:val="1E2833"/>
          <w:sz w:val="20"/>
          <w:szCs w:val="20"/>
        </w:rPr>
        <w:t xml:space="preserve">People and Culture does not report EAP, survey or HR results for groups of fewer than five people.</w:t>
      </w:r>
    </w:p>
    <w:p>
      <w:pPr>
        <w:pStyle w:val="ListParagraph"/>
        <w:numPr>
          <w:ilvl w:val="0"/>
          <w:numId w:val="2"/>
        </w:numPr>
        <w:spacing w:after="60" w:line="264"/>
      </w:pPr>
      <w:r>
        <w:rPr>
          <w:rFonts w:ascii="Aptos" w:cs="Aptos" w:eastAsia="Aptos" w:hAnsi="Aptos"/>
          <w:color w:val="1E2833"/>
          <w:sz w:val="20"/>
          <w:szCs w:val="20"/>
        </w:rPr>
        <w:t xml:space="preserve">WHS staff and managers receive EAP totals and themes only through the HR Business Partner, on request (SRL-CR-005). They do not contact the provider for data.</w:t>
      </w:r>
    </w:p>
    <w:p>
      <w:pPr>
        <w:pStyle w:val="ListParagraph"/>
        <w:numPr>
          <w:ilvl w:val="0"/>
          <w:numId w:val="2"/>
        </w:numPr>
        <w:spacing w:after="60" w:line="264"/>
      </w:pPr>
      <w:r>
        <w:rPr>
          <w:rFonts w:ascii="Aptos" w:cs="Aptos" w:eastAsia="Aptos" w:hAnsi="Aptos"/>
          <w:color w:val="1E2833"/>
          <w:sz w:val="20"/>
          <w:szCs w:val="20"/>
        </w:rPr>
        <w:t xml:space="preserve">EAP trends are one input to psychosocial hazard identification and to the review of psychosocial controls (SRL-CR-044). A rise in EAP use is a signal to look at the work, not at individuals.</w:t>
      </w:r>
    </w:p>
    <w:p>
      <w:pPr>
        <w:pStyle w:val="ListParagraph"/>
        <w:numPr>
          <w:ilvl w:val="0"/>
          <w:numId w:val="2"/>
        </w:numPr>
        <w:spacing w:after="60" w:line="264"/>
      </w:pPr>
      <w:r>
        <w:rPr>
          <w:rFonts w:ascii="Aptos" w:cs="Aptos" w:eastAsia="Aptos" w:hAnsi="Aptos"/>
          <w:color w:val="1E2833"/>
          <w:sz w:val="20"/>
          <w:szCs w:val="20"/>
        </w:rPr>
        <w:t xml:space="preserve">The Head of People and Culture reviews EAP use and the provider's performance each year.</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11. Privacy and records</w:t>
      </w:r>
    </w:p>
    <w:p>
      <w:pPr>
        <w:spacing w:before="0" w:after="120" w:line="276"/>
      </w:pPr>
      <w:r>
        <w:rPr>
          <w:rFonts w:ascii="Aptos" w:cs="Aptos" w:eastAsia="Aptos" w:hAnsi="Aptos"/>
          <w:color w:val="1E2833"/>
          <w:sz w:val="20"/>
          <w:szCs w:val="20"/>
        </w:rPr>
        <w:t xml:space="preserve">Any information about a worker's use of support, health or personal circumstances is health or sensitive information. It is held by People and Culture, shared only with the people who need it to support the worker, and handled under SRL-CR-018 and SRL-CR-038. De-identified EAP reports are kept for 5 years (SRL-CR-019). Records of supervisor check-ins after a critical incident note the date, time and who was contacted, not what was said.</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12. Training</w:t>
      </w:r>
    </w:p>
    <w:p>
      <w:pPr>
        <w:pStyle w:val="ListParagraph"/>
        <w:numPr>
          <w:ilvl w:val="0"/>
          <w:numId w:val="2"/>
        </w:numPr>
        <w:spacing w:after="60" w:line="264"/>
      </w:pPr>
      <w:r>
        <w:rPr>
          <w:rFonts w:ascii="Aptos" w:cs="Aptos" w:eastAsia="Aptos" w:hAnsi="Aptos"/>
          <w:color w:val="1E2833"/>
          <w:sz w:val="20"/>
          <w:szCs w:val="20"/>
        </w:rPr>
        <w:t xml:space="preserve">Supervisors and warehouse leads are trained to recognise distress, have a supportive conversation, refer to the EAP and carry out critical incident check-ins, as part of psychosocial awareness training (SRL-CR-044).</w:t>
      </w:r>
    </w:p>
    <w:p>
      <w:pPr>
        <w:pStyle w:val="ListParagraph"/>
        <w:numPr>
          <w:ilvl w:val="0"/>
          <w:numId w:val="2"/>
        </w:numPr>
        <w:spacing w:after="60" w:line="264"/>
      </w:pPr>
      <w:r>
        <w:rPr>
          <w:rFonts w:ascii="Aptos" w:cs="Aptos" w:eastAsia="Aptos" w:hAnsi="Aptos"/>
          <w:color w:val="1E2833"/>
          <w:sz w:val="20"/>
          <w:szCs w:val="20"/>
        </w:rPr>
        <w:t xml:space="preserve">All workers learn about the EAP at induction (section 5).</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13. Review</w:t>
      </w:r>
    </w:p>
    <w:p>
      <w:pPr>
        <w:spacing w:before="0" w:after="120" w:line="276"/>
      </w:pPr>
      <w:r>
        <w:rPr>
          <w:rFonts w:ascii="Aptos" w:cs="Aptos" w:eastAsia="Aptos" w:hAnsi="Aptos"/>
          <w:color w:val="1E2833"/>
          <w:sz w:val="20"/>
          <w:szCs w:val="20"/>
        </w:rPr>
        <w:t xml:space="preserve">This procedure is reviewed every 24 months, when the EAP contract changes, and after a critical incident if the support did not work as intended.</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14. Related documents</w:t>
      </w:r>
    </w:p>
    <w:p>
      <w:pPr>
        <w:pStyle w:val="ListParagraph"/>
        <w:numPr>
          <w:ilvl w:val="0"/>
          <w:numId w:val="2"/>
        </w:numPr>
        <w:spacing w:after="60" w:line="264"/>
      </w:pPr>
      <w:r>
        <w:rPr>
          <w:rFonts w:ascii="Aptos" w:cs="Aptos" w:eastAsia="Aptos" w:hAnsi="Aptos"/>
          <w:color w:val="1E2833"/>
          <w:sz w:val="20"/>
          <w:szCs w:val="20"/>
        </w:rPr>
        <w:t xml:space="preserve">SRL-CR-005 People and Culture Services Directory; SRL-CR-018 Information Privacy and Confidentiality Policy; SRL-CR-019 Document Control and Records Management Policy; SRL-CR-023 Speak Up and Whistleblower Protection Policy</w:t>
      </w:r>
    </w:p>
    <w:p>
      <w:pPr>
        <w:pStyle w:val="ListParagraph"/>
        <w:numPr>
          <w:ilvl w:val="0"/>
          <w:numId w:val="2"/>
        </w:numPr>
        <w:spacing w:after="60" w:line="264"/>
      </w:pPr>
      <w:r>
        <w:rPr>
          <w:rFonts w:ascii="Aptos" w:cs="Aptos" w:eastAsia="Aptos" w:hAnsi="Aptos"/>
          <w:color w:val="1E2833"/>
          <w:sz w:val="20"/>
          <w:szCs w:val="20"/>
        </w:rPr>
        <w:t xml:space="preserve">SRL-CR-024 Alcohol and Other Drugs Policy; SRL-CR-035 Incident Reporting and Investigation Procedure; SRL-CR-038 Information Collection and Data Handling Procedure</w:t>
      </w:r>
    </w:p>
    <w:p>
      <w:pPr>
        <w:pStyle w:val="ListParagraph"/>
        <w:numPr>
          <w:ilvl w:val="0"/>
          <w:numId w:val="2"/>
        </w:numPr>
        <w:spacing w:after="60" w:line="264"/>
      </w:pPr>
      <w:r>
        <w:rPr>
          <w:rFonts w:ascii="Aptos" w:cs="Aptos" w:eastAsia="Aptos" w:hAnsi="Aptos"/>
          <w:color w:val="1E2833"/>
          <w:sz w:val="20"/>
          <w:szCs w:val="20"/>
        </w:rPr>
        <w:t xml:space="preserve">SRL-CR-044 Psychosocial Hazard Management Procedure; SRL-CR-045 Fatigue Risk Management Procedure; SRL-CR-048 Induction Procedure; SRL-CR-058 Injury Management and Return to Work Procedure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September 2026</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EAP extended to labour hire workers on site. Critical incident support set out, including the supervisor check-in within 24 hours. Reporting rules added: monthly de-identified reports, themes only with five or more cases, data to WHS through People and Culture. Issued with SRL-CR-044 version 1.1.</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Lila Petrov, Priya Sharma</w:t>
            </w:r>
          </w:p>
        </w:tc>
      </w:tr>
      <w:tr>
        <w:trPr>
          <w:cantSplit/>
        </w:trPr>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28 April 2025</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EAP and manager referral, following the 2025 Perth DC psychosocial risk assessment (EAP at induction and on posters).</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Lila Petrov</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SRL-CR-053 Version 2.0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SRL-CR-053 Version 2.0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9752"/>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SRL-CR-053  ·  Employee Assistance Program and Wellbeing Support Procedure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SRL-CR-053 Employee Assistance Program and Wellbeing Support Procedure</dc:title>
  <dc:creator>SteelRiver Logistics Pty Ltd</dc:creator>
  <cp:lastModifiedBy>Un-named</cp:lastModifiedBy>
  <cp:revision>1</cp:revision>
  <dcterms:created xsi:type="dcterms:W3CDTF">2026-10-28T08:26:12.820Z</dcterms:created>
  <dcterms:modified xsi:type="dcterms:W3CDTF">2026-10-28T08:26:12.820Z</dcterms:modified>
</cp:coreProperties>
</file>

<file path=docProps/custom.xml><?xml version="1.0" encoding="utf-8"?>
<Properties xmlns="http://schemas.openxmlformats.org/officeDocument/2006/custom-properties" xmlns:vt="http://schemas.openxmlformats.org/officeDocument/2006/docPropsVTypes"/>
</file>