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68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84"/>
        <w:gridCol w:w="3600"/>
      </w:tblGrid>
      <w:tr>
        <w:tc>
          <w:tcPr>
            <w:tcW w:type="dxa" w:w="110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drawing>
                <wp:inline distT="0" distB="0" distL="0" distR="0">
                  <wp:extent cx="186690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20"/>
              <w:jc w:val="right"/>
            </w:pPr>
            <w:r>
              <w:rPr>
                <w:rFonts w:ascii="Aptos" w:cs="Aptos" w:eastAsia="Aptos" w:hAnsi="Aptos"/>
                <w:b/>
                <w:bCs/>
                <w:color w:val="5E7C99"/>
                <w:spacing w:val="40"/>
                <w:sz w:val="17"/>
                <w:szCs w:val="17"/>
              </w:rPr>
              <w:t xml:space="preserve">FORM</w:t>
            </w:r>
          </w:p>
          <w:p>
            <w:pPr>
              <w:spacing w:after="0"/>
              <w:jc w:val="right"/>
            </w:pPr>
            <w:r>
              <w:rPr>
                <w:rFonts w:ascii="Aptos Display" w:cs="Aptos Display" w:eastAsia="Aptos Display" w:hAnsi="Aptos Display"/>
                <w:b/>
                <w:bCs/>
                <w:color w:val="013056"/>
                <w:sz w:val="36"/>
                <w:szCs w:val="36"/>
              </w:rPr>
              <w:t xml:space="preserve">SRL-CR-061</w:t>
            </w:r>
          </w:p>
        </w:tc>
      </w:tr>
    </w:tbl>
    <w:p>
      <w:pPr>
        <w:pBdr>
          <w:top w:val="single" w:color="013056" w:sz="18" w:space="14"/>
        </w:pBdr>
        <w:spacing w:before="200" w:after="80"/>
      </w:pPr>
      <w:r>
        <w:rPr>
          <w:rFonts w:ascii="Aptos Display" w:cs="Aptos Display" w:eastAsia="Aptos Display" w:hAnsi="Aptos Display"/>
          <w:b/>
          <w:bCs/>
          <w:color w:val="013056"/>
          <w:sz w:val="52"/>
          <w:szCs w:val="52"/>
        </w:rPr>
        <w:t xml:space="preserve">Risk Assessment Template and SRL 5x5 Risk Matrix</w:t>
      </w:r>
    </w:p>
    <w:p>
      <w:pPr>
        <w:spacing w:before="0" w:after="160" w:line="276"/>
      </w:pPr>
      <w:r>
        <w:rPr>
          <w:rFonts w:ascii="Aptos" w:cs="Aptos" w:eastAsia="Aptos" w:hAnsi="Aptos"/>
          <w:color w:val="5E7C99"/>
          <w:sz w:val="24"/>
          <w:szCs w:val="24"/>
        </w:rPr>
        <w:t xml:space="preserve">Part A: risk assessment record. Part B: the SRL 5x5 risk matrix, descriptors and required actions</w:t>
      </w:r>
    </w:p>
    <w:tbl>
      <w:tblPr>
        <w:tblW w:type="dxa" w:w="1468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71"/>
        <w:gridCol w:w="3671"/>
        <w:gridCol w:w="3671"/>
        <w:gridCol w:w="3671"/>
      </w:tblGrid>
      <w:tr>
        <w:tc>
          <w:tcPr>
            <w:tcW w:type="dxa" w:w="3671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Document number</w:t>
            </w:r>
          </w:p>
        </w:tc>
        <w:tc>
          <w:tcPr>
            <w:tcW w:type="dxa" w:w="3671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SRL-CR-061</w:t>
            </w:r>
          </w:p>
        </w:tc>
        <w:tc>
          <w:tcPr>
            <w:tcW w:type="dxa" w:w="3671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Version</w:t>
            </w:r>
          </w:p>
        </w:tc>
        <w:tc>
          <w:tcPr>
            <w:tcW w:type="dxa" w:w="3671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3.0</w:t>
            </w:r>
          </w:p>
        </w:tc>
      </w:tr>
      <w:tr>
        <w:tc>
          <w:tcPr>
            <w:tcW w:type="dxa" w:w="3671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Document owner</w:t>
            </w:r>
          </w:p>
        </w:tc>
        <w:tc>
          <w:tcPr>
            <w:tcW w:type="dxa" w:w="3671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Priya Sharma, National WHS Manager</w:t>
            </w:r>
          </w:p>
        </w:tc>
        <w:tc>
          <w:tcPr>
            <w:tcW w:type="dxa" w:w="3671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Effective date</w:t>
            </w:r>
          </w:p>
        </w:tc>
        <w:tc>
          <w:tcPr>
            <w:tcW w:type="dxa" w:w="3671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1 February 2026</w:t>
            </w:r>
          </w:p>
        </w:tc>
      </w:tr>
      <w:tr>
        <w:tc>
          <w:tcPr>
            <w:tcW w:type="dxa" w:w="3671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Approved by</w:t>
            </w:r>
          </w:p>
        </w:tc>
        <w:tc>
          <w:tcPr>
            <w:tcW w:type="dxa" w:w="3671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Rajesh Iyengar, Chief Executive Officer</w:t>
            </w:r>
          </w:p>
        </w:tc>
        <w:tc>
          <w:tcPr>
            <w:tcW w:type="dxa" w:w="3671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Next review</w:t>
            </w:r>
          </w:p>
        </w:tc>
        <w:tc>
          <w:tcPr>
            <w:tcW w:type="dxa" w:w="3671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February 2027</w:t>
            </w:r>
          </w:p>
        </w:tc>
      </w:tr>
      <w:tr>
        <w:tc>
          <w:tcPr>
            <w:tcW w:type="dxa" w:w="3671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Applies to</w:t>
            </w:r>
          </w:p>
        </w:tc>
        <w:tc>
          <w:tcPr>
            <w:tcW w:type="dxa" w:w="3671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All SteelRiver sites</w:t>
            </w:r>
          </w:p>
        </w:tc>
        <w:tc>
          <w:tcPr>
            <w:tcW w:type="dxa" w:w="3671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Status</w:t>
            </w:r>
          </w:p>
        </w:tc>
        <w:tc>
          <w:tcPr>
            <w:tcW w:type="dxa" w:w="3671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Controlled. Uncontrolled when printed</w:t>
            </w:r>
          </w:p>
        </w:tc>
      </w:tr>
    </w:tbl>
    <w:p>
      <w:pPr>
        <w:spacing w:after="200"/>
      </w:pPr>
    </w:p>
    <w:tbl>
      <w:tblPr>
        <w:tblW w:type="dxa" w:w="1468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684"/>
      </w:tblGrid>
      <w:tr>
        <w:trPr>
          <w:cantSplit/>
        </w:trPr>
        <w:tc>
          <w:tcPr>
            <w:tcBorders>
              <w:top w:val="none" w:color="FFFFFF" w:sz="0"/>
              <w:left w:val="single" w:color="F2A900" w:sz="30"/>
              <w:bottom w:val="none" w:color="FFFFFF" w:sz="0"/>
              <w:right w:val="none" w:color="FFFFFF" w:sz="0"/>
            </w:tcBorders>
            <w:shd w:fill="EAF0F5" w:color="auto" w:val="clear"/>
            <w:tcMar>
              <w:top w:type="dxa" w:w="140"/>
              <w:left w:type="dxa" w:w="220"/>
              <w:bottom w:type="dxa" w:w="100"/>
              <w:right w:type="dxa" w:w="200"/>
            </w:tcMar>
          </w:tcPr>
          <w:p>
            <w:pPr>
              <w:spacing w:before="0" w:after="60" w:line="276"/>
            </w:pPr>
            <w:r>
              <w:rPr>
                <w:rFonts w:ascii="Aptos" w:cs="Aptos" w:eastAsia="Aptos" w:hAnsi="Aptos"/>
                <w:b/>
                <w:bCs/>
                <w:color w:val="013056"/>
                <w:sz w:val="21"/>
                <w:szCs w:val="21"/>
              </w:rPr>
              <w:t xml:space="preserve">How to use this template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Use Part A to record a formal risk assessment. SRL-CR-030 WHS Risk Management Procedure requires a formal assessment record for every risk rated Medium or above.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Rate each hazard with the SRL 5x5 matrix in Part B. Score = likelihood x consequence.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Rate the consequence as the most serious outcome that could reasonably happen, not the most common one. Controls mostly change the likelihood.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Rate as a group with the HSR and the people who do the work. Record the reasons for each rating and the data you used.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Enter every assessed risk in the MyOSH risk register. Escalate High and Extreme ratings as Part B, section 5 requires.</w:t>
            </w:r>
          </w:p>
        </w:tc>
      </w:tr>
    </w:tbl>
    <w:p>
      <w:pPr>
        <w:spacing w:after="160"/>
      </w:pPr>
    </w:p>
    <w:p>
      <w:pPr>
        <w:spacing w:before="0" w:after="120" w:line="276"/>
      </w:pPr>
      <w:r>
        <w:rPr>
          <w:rFonts w:ascii="Aptos" w:cs="Aptos" w:eastAsia="Aptos" w:hAnsi="Aptos"/>
          <w:b/>
          <w:bCs/>
          <w:color w:val="013056"/>
          <w:sz w:val="24"/>
          <w:szCs w:val="24"/>
        </w:rPr>
        <w:t xml:space="preserve">PART A  RISK ASSESSMENT RECORD</w:t>
      </w:r>
    </w:p>
    <w:tbl>
      <w:tblPr>
        <w:tblW w:type="dxa" w:w="1468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13984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1</w:t>
            </w:r>
          </w:p>
        </w:tc>
        <w:tc>
          <w:tcPr>
            <w:tcW w:type="dxa" w:w="139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BACKGROUND INFORMATION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4142"/>
        <w:gridCol w:w="3000"/>
        <w:gridCol w:w="4342"/>
      </w:tblGrid>
      <w:tr>
        <w:trPr>
          <w:cantSplit/>
          <w:trHeight w:val="52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Site and work area</w:t>
            </w:r>
          </w:p>
        </w:tc>
        <w:tc>
          <w:tcPr>
            <w:tcW w:type="dxa" w:w="414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MyOSH risk register reference</w:t>
            </w:r>
          </w:p>
        </w:tc>
        <w:tc>
          <w:tcPr>
            <w:tcW w:type="dxa" w:w="434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Activity, change or hazard under assessment</w:t>
            </w:r>
          </w:p>
        </w:tc>
        <w:tc>
          <w:tcPr>
            <w:tcW w:type="dxa" w:w="414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Date of assessment</w:t>
            </w:r>
          </w:p>
        </w:tc>
        <w:tc>
          <w:tcPr>
            <w:tcW w:type="dxa" w:w="434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Person leading the assessment</w:t>
            </w:r>
          </w:p>
        </w:tc>
        <w:tc>
          <w:tcPr>
            <w:tcW w:type="dxa" w:w="414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Persons consulted (including HSR)</w:t>
            </w:r>
          </w:p>
        </w:tc>
        <w:tc>
          <w:tcPr>
            <w:tcW w:type="dxa" w:w="434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Information used (incidents, near misses, inspections, surveys, SDS, codes of practice)</w:t>
            </w:r>
          </w:p>
        </w:tc>
        <w:tc>
          <w:tcPr>
            <w:tcW w:type="dxa" w:w="414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Workers exposed (groups and numbers)</w:t>
            </w:r>
          </w:p>
        </w:tc>
        <w:tc>
          <w:tcPr>
            <w:tcW w:type="dxa" w:w="434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200"/>
      </w:pPr>
    </w:p>
    <w:tbl>
      <w:tblPr>
        <w:tblW w:type="dxa" w:w="1468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13984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2</w:t>
            </w:r>
          </w:p>
        </w:tc>
        <w:tc>
          <w:tcPr>
            <w:tcW w:type="dxa" w:w="139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RISK ASSESSMENT</w:t>
            </w:r>
          </w:p>
        </w:tc>
      </w:tr>
    </w:tbl>
    <w:p>
      <w:pPr>
        <w:spacing w:before="100" w:after="60" w:line="276"/>
      </w:pPr>
      <w:r>
        <w:rPr>
          <w:rFonts w:ascii="Aptos" w:cs="Aptos" w:eastAsia="Aptos" w:hAnsi="Aptos"/>
          <w:color w:val="5F6B77"/>
          <w:sz w:val="18"/>
          <w:szCs w:val="18"/>
        </w:rPr>
        <w:t xml:space="preserve">One row per hazard. Hierarchy level: E elimination, S substitution, Eng engineering (including isolation), A administrative, P PPE.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2400"/>
        <w:gridCol w:w="1500"/>
        <w:gridCol w:w="2400"/>
        <w:gridCol w:w="700"/>
        <w:gridCol w:w="700"/>
        <w:gridCol w:w="1200"/>
        <w:gridCol w:w="2600"/>
        <w:gridCol w:w="1300"/>
        <w:gridCol w:w="1284"/>
      </w:tblGrid>
      <w:tr>
        <w:trPr>
          <w:cantSplit/>
          <w:tblHeader/>
        </w:trPr>
        <w:tc>
          <w:tcPr>
            <w:tcW w:type="dxa" w:w="6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ID</w:t>
            </w:r>
          </w:p>
        </w:tc>
        <w:tc>
          <w:tcPr>
            <w:tcW w:type="dxa" w:w="24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Hazard and risk factors</w:t>
            </w:r>
          </w:p>
        </w:tc>
        <w:tc>
          <w:tcPr>
            <w:tcW w:type="dxa" w:w="15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Who is exposed</w:t>
            </w:r>
          </w:p>
        </w:tc>
        <w:tc>
          <w:tcPr>
            <w:tcW w:type="dxa" w:w="24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Existing controls and how well they work</w:t>
            </w:r>
          </w:p>
        </w:tc>
        <w:tc>
          <w:tcPr>
            <w:tcW w:type="dxa" w:w="7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L (1 to 5)</w:t>
            </w:r>
          </w:p>
        </w:tc>
        <w:tc>
          <w:tcPr>
            <w:tcW w:type="dxa" w:w="7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C (1 to 5)</w:t>
            </w:r>
          </w:p>
        </w:tc>
        <w:tc>
          <w:tcPr>
            <w:tcW w:type="dxa" w:w="12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Score and rating</w:t>
            </w:r>
          </w:p>
        </w:tc>
        <w:tc>
          <w:tcPr>
            <w:tcW w:type="dxa" w:w="26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Additional controls (hierarchy level)</w:t>
            </w:r>
          </w:p>
        </w:tc>
        <w:tc>
          <w:tcPr>
            <w:tcW w:type="dxa" w:w="13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Owner and due date</w:t>
            </w:r>
          </w:p>
        </w:tc>
        <w:tc>
          <w:tcPr>
            <w:tcW w:type="dxa" w:w="1284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Target residual rating</w:t>
            </w:r>
          </w:p>
        </w:tc>
      </w:tr>
      <w:tr>
        <w:trPr>
          <w:cantSplit/>
          <w:trHeight w:val="1100" w:hRule="atLeast"/>
        </w:trPr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2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1100" w:hRule="atLeast"/>
        </w:trPr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2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1100" w:hRule="atLeast"/>
        </w:trPr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2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1100" w:hRule="atLeast"/>
        </w:trPr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2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1100" w:hRule="atLeast"/>
        </w:trPr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2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200"/>
      </w:pPr>
    </w:p>
    <w:tbl>
      <w:tblPr>
        <w:tblW w:type="dxa" w:w="1468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13984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3</w:t>
            </w:r>
          </w:p>
        </w:tc>
        <w:tc>
          <w:tcPr>
            <w:tcW w:type="dxa" w:w="139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ESCALATION AND APPROVAL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342"/>
        <w:gridCol w:w="7342"/>
      </w:tblGrid>
      <w:tr>
        <w:trPr>
          <w:cantSplit/>
        </w:trPr>
        <w:tc>
          <w:tcPr>
            <w:tcW w:type="dxa" w:w="734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Extreme rating: activity stopped; DC Manager and National WHS Manager notified immediately</w:t>
            </w:r>
          </w:p>
        </w:tc>
        <w:tc>
          <w:tcPr>
            <w:tcW w:type="dxa" w:w="734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High rating: DC Manager and WHS Coordinator notified immediately; Operations Director and National WHS Manager within 24 hours</w:t>
            </w:r>
          </w:p>
        </w:tc>
      </w:tr>
      <w:tr>
        <w:trPr>
          <w:cantSplit/>
        </w:trPr>
        <w:tc>
          <w:tcPr>
            <w:tcW w:type="dxa" w:w="734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Medium rating: WHS Coordinator and HSR notified</w:t>
            </w:r>
          </w:p>
        </w:tc>
        <w:tc>
          <w:tcPr>
            <w:tcW w:type="dxa" w:w="734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Administrative controls only for a High or Extreme risk: Operations Director approval recorded</w:t>
            </w:r>
          </w:p>
        </w:tc>
      </w:tr>
      <w:tr>
        <w:trPr>
          <w:cantSplit/>
        </w:trPr>
        <w:tc>
          <w:tcPr>
            <w:tcW w:type="dxa" w:w="734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Entered in the MyOSH risk register</w:t>
            </w:r>
          </w:p>
        </w:tc>
        <w:tc>
          <w:tcPr>
            <w:tcW w:type="dxa" w:w="734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Results communicated to the affected work groups</w:t>
            </w: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200"/>
        <w:gridCol w:w="3800"/>
        <w:gridCol w:w="3800"/>
        <w:gridCol w:w="2884"/>
      </w:tblGrid>
      <w:tr>
        <w:trPr>
          <w:cantSplit/>
          <w:tblHeader/>
        </w:trPr>
        <w:tc>
          <w:tcPr>
            <w:tcW w:type="dxa" w:w="42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3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3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Signature</w:t>
            </w:r>
          </w:p>
        </w:tc>
        <w:tc>
          <w:tcPr>
            <w:tcW w:type="dxa" w:w="2884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</w:tr>
      <w:tr>
        <w:trPr>
          <w:cantSplit/>
          <w:trHeight w:val="520" w:hRule="atLeast"/>
        </w:trPr>
        <w:tc>
          <w:tcPr>
            <w:tcW w:type="dxa" w:w="4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Assessment leader</w:t>
            </w:r>
          </w:p>
        </w:tc>
        <w:tc>
          <w:tcPr>
            <w:tcW w:type="dxa" w:w="3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8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20" w:hRule="atLeast"/>
        </w:trPr>
        <w:tc>
          <w:tcPr>
            <w:tcW w:type="dxa" w:w="4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HSR consulted</w:t>
            </w:r>
          </w:p>
        </w:tc>
        <w:tc>
          <w:tcPr>
            <w:tcW w:type="dxa" w:w="3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8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20" w:hRule="atLeast"/>
        </w:trPr>
        <w:tc>
          <w:tcPr>
            <w:tcW w:type="dxa" w:w="4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WHS Coordinator</w:t>
            </w:r>
          </w:p>
        </w:tc>
        <w:tc>
          <w:tcPr>
            <w:tcW w:type="dxa" w:w="3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8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20" w:hRule="atLeast"/>
        </w:trPr>
        <w:tc>
          <w:tcPr>
            <w:tcW w:type="dxa" w:w="4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DC Manager (High and Extreme ratings)</w:t>
            </w:r>
          </w:p>
        </w:tc>
        <w:tc>
          <w:tcPr>
            <w:tcW w:type="dxa" w:w="3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8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before="320" w:after="0" w:line="276"/>
      </w:pPr>
      <w:r>
        <w:rPr>
          <w:rFonts w:ascii="Aptos" w:cs="Aptos" w:eastAsia="Aptos" w:hAnsi="Aptos"/>
          <w:b/>
          <w:bCs/>
          <w:color w:val="013056"/>
          <w:sz w:val="24"/>
          <w:szCs w:val="24"/>
        </w:rPr>
        <w:t xml:space="preserve">PART B  SRL 5x5 RISK MATRIX</w:t>
      </w:r>
    </w:p>
    <w:p>
      <w:pPr>
        <w:keepNext/>
        <w:pBdr>
          <w:left w:val="single" w:color="5E7C99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13056"/>
          <w:sz w:val="30"/>
          <w:szCs w:val="30"/>
        </w:rPr>
        <w:t xml:space="preserve">4. Consequence, likelihood and rating</w:t>
      </w:r>
    </w:p>
    <w:p>
      <w:pPr>
        <w:keepNext/>
        <w:spacing w:before="200" w:after="80"/>
      </w:pPr>
      <w:r>
        <w:rPr>
          <w:rFonts w:ascii="Aptos Display" w:cs="Aptos Display" w:eastAsia="Aptos Display" w:hAnsi="Aptos Display"/>
          <w:b/>
          <w:bCs/>
          <w:color w:val="5E7C99"/>
          <w:sz w:val="24"/>
          <w:szCs w:val="24"/>
        </w:rPr>
        <w:t xml:space="preserve">4.1 Consequence descriptors</w:t>
      </w:r>
    </w:p>
    <w:p>
      <w:pPr>
        <w:spacing w:before="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For WHS risks use the health and safety column. For other risks in the eight SteelRiver risk categories (WHS physical; WHS psychosocial; dangerous goods and environmental; operational; people; financial; compliance; reputational and strategic) use the column that fits. Where more than one applies, use the highest level.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2700"/>
        <w:gridCol w:w="2700"/>
        <w:gridCol w:w="2700"/>
        <w:gridCol w:w="1700"/>
        <w:gridCol w:w="3384"/>
      </w:tblGrid>
      <w:tr>
        <w:trPr>
          <w:cantSplit/>
          <w:tblHeader/>
        </w:trPr>
        <w:tc>
          <w:tcPr>
            <w:tcW w:type="dxa" w:w="15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Level</w:t>
            </w:r>
          </w:p>
        </w:tc>
        <w:tc>
          <w:tcPr>
            <w:tcW w:type="dxa" w:w="27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Health and safety</w:t>
            </w:r>
          </w:p>
        </w:tc>
        <w:tc>
          <w:tcPr>
            <w:tcW w:type="dxa" w:w="27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People (workforce)</w:t>
            </w:r>
          </w:p>
        </w:tc>
        <w:tc>
          <w:tcPr>
            <w:tcW w:type="dxa" w:w="27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Operational</w:t>
            </w:r>
          </w:p>
        </w:tc>
        <w:tc>
          <w:tcPr>
            <w:tcW w:type="dxa" w:w="17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Financial</w:t>
            </w:r>
          </w:p>
        </w:tc>
        <w:tc>
          <w:tcPr>
            <w:tcW w:type="dxa" w:w="3384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Reputational and compliance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1 Insignificant</w:t>
            </w:r>
          </w:p>
        </w:tc>
        <w:tc>
          <w:tcPr>
            <w:tcW w:type="dxa" w:w="2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No injury or illness; no first aid required</w:t>
            </w:r>
          </w:p>
        </w:tc>
        <w:tc>
          <w:tcPr>
            <w:tcW w:type="dxa" w:w="2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No effect on morale, attendance or capability</w:t>
            </w:r>
          </w:p>
        </w:tc>
        <w:tc>
          <w:tcPr>
            <w:tcW w:type="dxa" w:w="2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Disruption under 1 hour; no customer impact</w:t>
            </w:r>
          </w:p>
        </w:tc>
        <w:tc>
          <w:tcPr>
            <w:tcW w:type="dxa" w:w="1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Loss or cost under $5,000</w:t>
            </w:r>
          </w:p>
        </w:tc>
        <w:tc>
          <w:tcPr>
            <w:tcW w:type="dxa" w:w="33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Internal matter only; no external interest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2 Minor</w:t>
            </w:r>
          </w:p>
        </w:tc>
        <w:tc>
          <w:tcPr>
            <w:tcW w:type="dxa" w:w="2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Injury or ill health requiring first aid only</w:t>
            </w:r>
          </w:p>
        </w:tc>
        <w:tc>
          <w:tcPr>
            <w:tcW w:type="dxa" w:w="2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Short-term dissatisfaction in one team; no loss of staff</w:t>
            </w:r>
          </w:p>
        </w:tc>
        <w:tc>
          <w:tcPr>
            <w:tcW w:type="dxa" w:w="2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Disruption up to one shift; one late customer delivery</w:t>
            </w:r>
          </w:p>
        </w:tc>
        <w:tc>
          <w:tcPr>
            <w:tcW w:type="dxa" w:w="1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$5,000 to $50,000</w:t>
            </w:r>
          </w:p>
        </w:tc>
        <w:tc>
          <w:tcPr>
            <w:tcW w:type="dxa" w:w="33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Complaint from one customer resolved at site level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3 Moderate</w:t>
            </w:r>
          </w:p>
        </w:tc>
        <w:tc>
          <w:tcPr>
            <w:tcW w:type="dxa" w:w="2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Injury or ill health requiring medical treatment</w:t>
            </w:r>
          </w:p>
        </w:tc>
        <w:tc>
          <w:tcPr>
            <w:tcW w:type="dxa" w:w="2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Loss of a skilled worker, a grievance, or one team underperforming for about a month</w:t>
            </w:r>
          </w:p>
        </w:tc>
        <w:tc>
          <w:tcPr>
            <w:tcW w:type="dxa" w:w="2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Disruption of 1 to 3 days at one DC, or a service level breach for one customer</w:t>
            </w:r>
          </w:p>
        </w:tc>
        <w:tc>
          <w:tcPr>
            <w:tcW w:type="dxa" w:w="1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$50,000 to $250,000</w:t>
            </w:r>
          </w:p>
        </w:tc>
        <w:tc>
          <w:tcPr>
            <w:tcW w:type="dxa" w:w="33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Formal complaint from a key customer; local media; regulator enquiry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4 Major</w:t>
            </w:r>
          </w:p>
        </w:tc>
        <w:tc>
          <w:tcPr>
            <w:tcW w:type="dxa" w:w="2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Injury or ill health requiring hospital admission</w:t>
            </w:r>
          </w:p>
        </w:tc>
        <w:tc>
          <w:tcPr>
            <w:tcW w:type="dxa" w:w="2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Loss of several key staff or a supervisor; sustained underperformance; formal dispute</w:t>
            </w:r>
          </w:p>
        </w:tc>
        <w:tc>
          <w:tcPr>
            <w:tcW w:type="dxa" w:w="2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Disruption of more than 3 days at one DC; a customer contract placed under review</w:t>
            </w:r>
          </w:p>
        </w:tc>
        <w:tc>
          <w:tcPr>
            <w:tcW w:type="dxa" w:w="1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$250,000 to $1 million</w:t>
            </w:r>
          </w:p>
        </w:tc>
        <w:tc>
          <w:tcPr>
            <w:tcW w:type="dxa" w:w="33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Improvement or prohibition notice; state media; contract review by a top 10 customer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5 Severe</w:t>
            </w:r>
          </w:p>
        </w:tc>
        <w:tc>
          <w:tcPr>
            <w:tcW w:type="dxa" w:w="2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Fatality or permanent disabling injury or illness</w:t>
            </w:r>
          </w:p>
        </w:tc>
        <w:tc>
          <w:tcPr>
            <w:tcW w:type="dxa" w:w="2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Widespread loss of key staff, industrial action or failure of site leadership</w:t>
            </w:r>
          </w:p>
        </w:tc>
        <w:tc>
          <w:tcPr>
            <w:tcW w:type="dxa" w:w="2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Loss of a DC for more than a week, or loss of a top 10 customer</w:t>
            </w:r>
          </w:p>
        </w:tc>
        <w:tc>
          <w:tcPr>
            <w:tcW w:type="dxa" w:w="1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More than $1 million</w:t>
            </w:r>
          </w:p>
        </w:tc>
        <w:tc>
          <w:tcPr>
            <w:tcW w:type="dxa" w:w="33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Prosecution; national media; loss of a licence or accreditation</w:t>
            </w:r>
          </w:p>
        </w:tc>
      </w:tr>
    </w:tbl>
    <w:p>
      <w:pPr>
        <w:keepNext/>
        <w:spacing w:before="200" w:after="80"/>
      </w:pPr>
      <w:r>
        <w:rPr>
          <w:rFonts w:ascii="Aptos Display" w:cs="Aptos Display" w:eastAsia="Aptos Display" w:hAnsi="Aptos Display"/>
          <w:b/>
          <w:bCs/>
          <w:color w:val="5E7C99"/>
          <w:sz w:val="24"/>
          <w:szCs w:val="24"/>
        </w:rPr>
        <w:t xml:space="preserve">4.2 Likelihood descriptors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00"/>
        <w:gridCol w:w="12284"/>
      </w:tblGrid>
      <w:tr>
        <w:trPr>
          <w:cantSplit/>
          <w:tblHeader/>
        </w:trPr>
        <w:tc>
          <w:tcPr>
            <w:tcW w:type="dxa" w:w="24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Level</w:t>
            </w:r>
          </w:p>
        </w:tc>
        <w:tc>
          <w:tcPr>
            <w:tcW w:type="dxa" w:w="12284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1 Rare</w:t>
            </w:r>
          </w:p>
        </w:tc>
        <w:tc>
          <w:tcPr>
            <w:tcW w:type="dxa" w:w="122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May occur somewhere, sometime; once in a working career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2 Unlikely</w:t>
            </w:r>
          </w:p>
        </w:tc>
        <w:tc>
          <w:tcPr>
            <w:tcW w:type="dxa" w:w="122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May occur somewhere across SteelRiver over an extended period of time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3 Possible</w:t>
            </w:r>
          </w:p>
        </w:tc>
        <w:tc>
          <w:tcPr>
            <w:tcW w:type="dxa" w:w="122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May occur several times across the DC over a period of time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4 Likely</w:t>
            </w:r>
          </w:p>
        </w:tc>
        <w:tc>
          <w:tcPr>
            <w:tcW w:type="dxa" w:w="122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Expected multiple times over a period of time, or once every few repetitions of the activity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5 Almost certain</w:t>
            </w:r>
          </w:p>
        </w:tc>
        <w:tc>
          <w:tcPr>
            <w:tcW w:type="dxa" w:w="122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Expected each time the activity is done</w:t>
            </w:r>
          </w:p>
        </w:tc>
      </w:tr>
    </w:tbl>
    <w:p>
      <w:pPr>
        <w:keepNext/>
        <w:spacing w:before="200" w:after="80"/>
      </w:pPr>
      <w:r>
        <w:rPr>
          <w:rFonts w:ascii="Aptos Display" w:cs="Aptos Display" w:eastAsia="Aptos Display" w:hAnsi="Aptos Display"/>
          <w:b/>
          <w:bCs/>
          <w:color w:val="5E7C99"/>
          <w:sz w:val="24"/>
          <w:szCs w:val="24"/>
        </w:rPr>
        <w:t xml:space="preserve">4.3 Risk rating matrix (score = likelihood x consequence)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64"/>
        <w:gridCol w:w="2300"/>
        <w:gridCol w:w="2300"/>
        <w:gridCol w:w="2300"/>
        <w:gridCol w:w="2300"/>
        <w:gridCol w:w="2320"/>
      </w:tblGrid>
      <w:tr>
        <w:trPr>
          <w:cantSplit/>
          <w:tblHeader/>
        </w:trPr>
        <w:tc>
          <w:tcPr>
            <w:tcW w:type="dxa" w:w="3164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Consequence  /  Likelihood</w:t>
            </w:r>
          </w:p>
        </w:tc>
        <w:tc>
          <w:tcPr>
            <w:tcW w:type="dxa" w:w="23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1 Rare</w:t>
            </w:r>
          </w:p>
        </w:tc>
        <w:tc>
          <w:tcPr>
            <w:tcW w:type="dxa" w:w="23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2 Unlikely</w:t>
            </w:r>
          </w:p>
        </w:tc>
        <w:tc>
          <w:tcPr>
            <w:tcW w:type="dxa" w:w="23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3 Possible</w:t>
            </w:r>
          </w:p>
        </w:tc>
        <w:tc>
          <w:tcPr>
            <w:tcW w:type="dxa" w:w="23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4 Likely</w:t>
            </w:r>
          </w:p>
        </w:tc>
        <w:tc>
          <w:tcPr>
            <w:tcW w:type="dxa" w:w="232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5 Almost certain</w:t>
            </w:r>
          </w:p>
        </w:tc>
      </w:tr>
      <w:tr>
        <w:trPr>
          <w:cantSplit/>
        </w:trPr>
        <w:tc>
          <w:tcPr>
            <w:tcW w:type="dxa" w:w="316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5 Severe</w:t>
            </w:r>
          </w:p>
        </w:tc>
        <w:tc>
          <w:tcPr>
            <w:tcW w:type="dxa" w:w="2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5 Medium</w:t>
            </w:r>
          </w:p>
        </w:tc>
        <w:tc>
          <w:tcPr>
            <w:tcW w:type="dxa" w:w="2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10 High</w:t>
            </w:r>
          </w:p>
        </w:tc>
        <w:tc>
          <w:tcPr>
            <w:tcW w:type="dxa" w:w="2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15 Extreme</w:t>
            </w:r>
          </w:p>
        </w:tc>
        <w:tc>
          <w:tcPr>
            <w:tcW w:type="dxa" w:w="2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20 Extreme</w:t>
            </w:r>
          </w:p>
        </w:tc>
        <w:tc>
          <w:tcPr>
            <w:tcW w:type="dxa" w:w="232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25 Extreme</w:t>
            </w:r>
          </w:p>
        </w:tc>
      </w:tr>
      <w:tr>
        <w:trPr>
          <w:cantSplit/>
        </w:trPr>
        <w:tc>
          <w:tcPr>
            <w:tcW w:type="dxa" w:w="316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4 Major</w:t>
            </w:r>
          </w:p>
        </w:tc>
        <w:tc>
          <w:tcPr>
            <w:tcW w:type="dxa" w:w="2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4 Low</w:t>
            </w:r>
          </w:p>
        </w:tc>
        <w:tc>
          <w:tcPr>
            <w:tcW w:type="dxa" w:w="2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8 Medium</w:t>
            </w:r>
          </w:p>
        </w:tc>
        <w:tc>
          <w:tcPr>
            <w:tcW w:type="dxa" w:w="2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12 High</w:t>
            </w:r>
          </w:p>
        </w:tc>
        <w:tc>
          <w:tcPr>
            <w:tcW w:type="dxa" w:w="2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16 Extreme</w:t>
            </w:r>
          </w:p>
        </w:tc>
        <w:tc>
          <w:tcPr>
            <w:tcW w:type="dxa" w:w="232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20 Extreme</w:t>
            </w:r>
          </w:p>
        </w:tc>
      </w:tr>
      <w:tr>
        <w:trPr>
          <w:cantSplit/>
        </w:trPr>
        <w:tc>
          <w:tcPr>
            <w:tcW w:type="dxa" w:w="316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3 Moderate</w:t>
            </w:r>
          </w:p>
        </w:tc>
        <w:tc>
          <w:tcPr>
            <w:tcW w:type="dxa" w:w="2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3 Low</w:t>
            </w:r>
          </w:p>
        </w:tc>
        <w:tc>
          <w:tcPr>
            <w:tcW w:type="dxa" w:w="2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6 Medium</w:t>
            </w:r>
          </w:p>
        </w:tc>
        <w:tc>
          <w:tcPr>
            <w:tcW w:type="dxa" w:w="2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9 Medium</w:t>
            </w:r>
          </w:p>
        </w:tc>
        <w:tc>
          <w:tcPr>
            <w:tcW w:type="dxa" w:w="2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12 High</w:t>
            </w:r>
          </w:p>
        </w:tc>
        <w:tc>
          <w:tcPr>
            <w:tcW w:type="dxa" w:w="232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15 Extreme</w:t>
            </w:r>
          </w:p>
        </w:tc>
      </w:tr>
      <w:tr>
        <w:trPr>
          <w:cantSplit/>
        </w:trPr>
        <w:tc>
          <w:tcPr>
            <w:tcW w:type="dxa" w:w="316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2 Minor</w:t>
            </w:r>
          </w:p>
        </w:tc>
        <w:tc>
          <w:tcPr>
            <w:tcW w:type="dxa" w:w="2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2 Low</w:t>
            </w:r>
          </w:p>
        </w:tc>
        <w:tc>
          <w:tcPr>
            <w:tcW w:type="dxa" w:w="2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4 Low</w:t>
            </w:r>
          </w:p>
        </w:tc>
        <w:tc>
          <w:tcPr>
            <w:tcW w:type="dxa" w:w="2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6 Medium</w:t>
            </w:r>
          </w:p>
        </w:tc>
        <w:tc>
          <w:tcPr>
            <w:tcW w:type="dxa" w:w="2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8 Medium</w:t>
            </w:r>
          </w:p>
        </w:tc>
        <w:tc>
          <w:tcPr>
            <w:tcW w:type="dxa" w:w="232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10 High</w:t>
            </w:r>
          </w:p>
        </w:tc>
      </w:tr>
      <w:tr>
        <w:trPr>
          <w:cantSplit/>
        </w:trPr>
        <w:tc>
          <w:tcPr>
            <w:tcW w:type="dxa" w:w="316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1 Insignificant</w:t>
            </w:r>
          </w:p>
        </w:tc>
        <w:tc>
          <w:tcPr>
            <w:tcW w:type="dxa" w:w="2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1 Low</w:t>
            </w:r>
          </w:p>
        </w:tc>
        <w:tc>
          <w:tcPr>
            <w:tcW w:type="dxa" w:w="2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2 Low</w:t>
            </w:r>
          </w:p>
        </w:tc>
        <w:tc>
          <w:tcPr>
            <w:tcW w:type="dxa" w:w="2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3 Low</w:t>
            </w:r>
          </w:p>
        </w:tc>
        <w:tc>
          <w:tcPr>
            <w:tcW w:type="dxa" w:w="2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4 Low</w:t>
            </w:r>
          </w:p>
        </w:tc>
        <w:tc>
          <w:tcPr>
            <w:tcW w:type="dxa" w:w="232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5 Medium</w:t>
            </w:r>
          </w:p>
        </w:tc>
      </w:tr>
    </w:tbl>
    <w:p>
      <w:pPr>
        <w:spacing w:before="12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Bands: </w:t>
      </w:r>
      <w:r>
        <w:rPr>
          <w:rFonts w:ascii="Aptos" w:cs="Aptos" w:eastAsia="Aptos" w:hAnsi="Aptos"/>
          <w:b/>
          <w:bCs/>
          <w:color w:val="1E2833"/>
          <w:sz w:val="20"/>
          <w:szCs w:val="20"/>
        </w:rPr>
        <w:t xml:space="preserve">Low 1 to 4. Medium 5 to 9. High 10 to 14. Extreme 15 to 25.</w:t>
      </w:r>
      <w:r>
        <w:rPr>
          <w:rFonts w:ascii="Aptos" w:cs="Aptos" w:eastAsia="Aptos" w:hAnsi="Aptos"/>
          <w:color w:val="1E2833"/>
          <w:sz w:val="20"/>
          <w:szCs w:val="20"/>
        </w:rPr>
        <w:t xml:space="preserve"> Every score of 4 is Low, including Likely x Insignificant and Rare x Major. With a Severe consequence a risk drops to Medium only when the likelihood is Rare.</w:t>
      </w:r>
    </w:p>
    <w:p>
      <w:pPr>
        <w:keepNext/>
        <w:pBdr>
          <w:left w:val="single" w:color="5E7C99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13056"/>
          <w:sz w:val="30"/>
          <w:szCs w:val="30"/>
        </w:rPr>
        <w:t xml:space="preserve">5. Required action and escalation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7884"/>
        <w:gridCol w:w="2800"/>
        <w:gridCol w:w="2000"/>
      </w:tblGrid>
      <w:tr>
        <w:trPr>
          <w:cantSplit/>
          <w:tblHeader/>
        </w:trPr>
        <w:tc>
          <w:tcPr>
            <w:tcW w:type="dxa" w:w="20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Rating</w:t>
            </w:r>
          </w:p>
        </w:tc>
        <w:tc>
          <w:tcPr>
            <w:tcW w:type="dxa" w:w="7884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Required action and escalation</w:t>
            </w:r>
          </w:p>
        </w:tc>
        <w:tc>
          <w:tcPr>
            <w:tcW w:type="dxa" w:w="2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Monitoring</w:t>
            </w:r>
          </w:p>
        </w:tc>
        <w:tc>
          <w:tcPr>
            <w:tcW w:type="dxa" w:w="20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Record kept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Extreme (15 to 25)</w:t>
            </w:r>
          </w:p>
        </w:tc>
        <w:tc>
          <w:tcPr>
            <w:tcW w:type="dxa" w:w="78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Stop the activity. Notify the DC Manager and National WHS Manager immediately; they inform the Operations Director and CEO. Work resumes only when interim controls bring the rating to High or below and the DC Manager and National WHS Manager approve.</w:t>
            </w:r>
          </w:p>
        </w:tc>
        <w:tc>
          <w:tcPr>
            <w:tcW w:type="dxa" w:w="2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Daily until reduced</w:t>
            </w:r>
          </w:p>
        </w:tc>
        <w:tc>
          <w:tcPr>
            <w:tcW w:type="dxa" w:w="2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7 years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High (10 to 14)</w:t>
            </w:r>
          </w:p>
        </w:tc>
        <w:tc>
          <w:tcPr>
            <w:tcW w:type="dxa" w:w="78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Notify the DC Manager and WHS Coordinator immediately; the Operations Director and National WHS Manager are informed within 24 hours. Corrective action within 48 hours. Documented control plan (SRL-CR-063) with owner and date. Administrative controls alone need Operations Director approval.</w:t>
            </w:r>
          </w:p>
        </w:tc>
        <w:tc>
          <w:tcPr>
            <w:tcW w:type="dxa" w:w="2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Weekly</w:t>
            </w:r>
          </w:p>
        </w:tc>
        <w:tc>
          <w:tcPr>
            <w:tcW w:type="dxa" w:w="2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7 years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Medium (5 to 9)</w:t>
            </w:r>
          </w:p>
        </w:tc>
        <w:tc>
          <w:tcPr>
            <w:tcW w:type="dxa" w:w="78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Notify the WHS Coordinator and HSR. Documented controls. Corrective action within 7 days where required.</w:t>
            </w:r>
          </w:p>
        </w:tc>
        <w:tc>
          <w:tcPr>
            <w:tcW w:type="dxa" w:w="2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Monthly</w:t>
            </w:r>
          </w:p>
        </w:tc>
        <w:tc>
          <w:tcPr>
            <w:tcW w:type="dxa" w:w="2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5 years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Low (1 to 4)</w:t>
            </w:r>
          </w:p>
        </w:tc>
        <w:tc>
          <w:tcPr>
            <w:tcW w:type="dxa" w:w="78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Notify the WHS Coordinator. Documented controls.</w:t>
            </w:r>
          </w:p>
        </w:tc>
        <w:tc>
          <w:tcPr>
            <w:tcW w:type="dxa" w:w="2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Periodic, through normal review cycles</w:t>
            </w:r>
          </w:p>
        </w:tc>
        <w:tc>
          <w:tcPr>
            <w:tcW w:type="dxa" w:w="2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As for the register</w:t>
            </w:r>
          </w:p>
        </w:tc>
      </w:tr>
    </w:tbl>
    <w:p>
      <w:pPr>
        <w:keepNext/>
        <w:pBdr>
          <w:left w:val="single" w:color="5E7C99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13056"/>
          <w:sz w:val="30"/>
          <w:szCs w:val="30"/>
        </w:rPr>
        <w:t xml:space="preserve">6. Hierarchy of control</w:t>
      </w:r>
    </w:p>
    <w:p>
      <w:pPr>
        <w:spacing w:before="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Choose controls in this order (reg 36, Work Health and Safety (General) Regulations 2022 (WA), and the equivalent regulations at the other sites). Use more than one control where needed.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4800"/>
        <w:gridCol w:w="8984"/>
      </w:tblGrid>
      <w:tr>
        <w:trPr>
          <w:cantSplit/>
          <w:tblHeader/>
        </w:trPr>
        <w:tc>
          <w:tcPr>
            <w:tcW w:type="dxa" w:w="9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Level</w:t>
            </w:r>
          </w:p>
        </w:tc>
        <w:tc>
          <w:tcPr>
            <w:tcW w:type="dxa" w:w="4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Control</w:t>
            </w:r>
          </w:p>
        </w:tc>
        <w:tc>
          <w:tcPr>
            <w:tcW w:type="dxa" w:w="8984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Example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</w:t>
            </w:r>
          </w:p>
        </w:tc>
        <w:tc>
          <w:tcPr>
            <w:tcW w:type="dxa" w:w="4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Eliminate the hazard</w:t>
            </w:r>
          </w:p>
        </w:tc>
        <w:tc>
          <w:tcPr>
            <w:tcW w:type="dxa" w:w="89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Remove the task, for example have stock delivered on pallets so it is not hand unloaded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2</w:t>
            </w:r>
          </w:p>
        </w:tc>
        <w:tc>
          <w:tcPr>
            <w:tcW w:type="dxa" w:w="4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Substitute with something safer</w:t>
            </w:r>
          </w:p>
        </w:tc>
        <w:tc>
          <w:tcPr>
            <w:tcW w:type="dxa" w:w="89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Use a less hazardous cleaning chemical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3</w:t>
            </w:r>
          </w:p>
        </w:tc>
        <w:tc>
          <w:tcPr>
            <w:tcW w:type="dxa" w:w="4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Engineering, including isolation</w:t>
            </w:r>
          </w:p>
        </w:tc>
        <w:tc>
          <w:tcPr>
            <w:tcW w:type="dxa" w:w="89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Guarding, extraction fans, physical barriers that keep people away from the hazard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4</w:t>
            </w:r>
          </w:p>
        </w:tc>
        <w:tc>
          <w:tcPr>
            <w:tcW w:type="dxa" w:w="4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Administrative</w:t>
            </w:r>
          </w:p>
        </w:tc>
        <w:tc>
          <w:tcPr>
            <w:tcW w:type="dxa" w:w="89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Procedures, training, signs, rosters, supervision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5</w:t>
            </w:r>
          </w:p>
        </w:tc>
        <w:tc>
          <w:tcPr>
            <w:tcW w:type="dxa" w:w="4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Personal protective equipment</w:t>
            </w:r>
          </w:p>
        </w:tc>
        <w:tc>
          <w:tcPr>
            <w:tcW w:type="dxa" w:w="89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Hi-vis clothing, safety footwear, hearing protection</w:t>
            </w:r>
          </w:p>
        </w:tc>
      </w:tr>
    </w:tbl>
    <w:p>
      <w:pPr>
        <w:keepNext/>
        <w:pBdr>
          <w:left w:val="single" w:color="5E7C99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13056"/>
          <w:sz w:val="30"/>
          <w:szCs w:val="30"/>
        </w:rPr>
        <w:t xml:space="preserve">7. Review</w:t>
      </w:r>
    </w:p>
    <w:p>
      <w:pPr>
        <w:spacing w:before="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Every entry is reassessed at least every 12 months, and sooner when a control is not effective, before a change to the work, when a new hazard is found, or when an HSR asks for a review under reg 38(4). This template is reviewed every 12 months.</w:t>
      </w:r>
    </w:p>
    <w:p>
      <w:pPr>
        <w:keepNext/>
        <w:pBdr>
          <w:left w:val="single" w:color="5E7C99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13056"/>
          <w:sz w:val="30"/>
          <w:szCs w:val="30"/>
        </w:rPr>
        <w:t xml:space="preserve">Document history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2000"/>
        <w:gridCol w:w="9084"/>
        <w:gridCol w:w="2500"/>
      </w:tblGrid>
      <w:tr>
        <w:trPr>
          <w:cantSplit/>
          <w:tblHeader/>
        </w:trPr>
        <w:tc>
          <w:tcPr>
            <w:tcW w:type="dxa" w:w="11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20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9084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Summary of change</w:t>
            </w:r>
          </w:p>
        </w:tc>
        <w:tc>
          <w:tcPr>
            <w:tcW w:type="dxa" w:w="25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3.0</w:t>
            </w:r>
          </w:p>
        </w:tc>
        <w:tc>
          <w:tcPr>
            <w:tcW w:type="dxa" w:w="2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 February 2026</w:t>
            </w:r>
          </w:p>
        </w:tc>
        <w:tc>
          <w:tcPr>
            <w:tcW w:type="dxa" w:w="90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Matrix labels corrected: Likely x Insignificant and Rare x Major are both 4 Low. Business-impact consequence descriptors added for people, operational, financial and reputational risks. Escalation wording aligned with SRL-CR-030. Hierarchy of control and record retention added.</w:t>
            </w:r>
          </w:p>
        </w:tc>
        <w:tc>
          <w:tcPr>
            <w:tcW w:type="dxa" w:w="2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Rajesh Iyengar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2.3</w:t>
            </w:r>
          </w:p>
        </w:tc>
        <w:tc>
          <w:tcPr>
            <w:tcW w:type="dxa" w:w="2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 July 2025</w:t>
            </w:r>
          </w:p>
        </w:tc>
        <w:tc>
          <w:tcPr>
            <w:tcW w:type="dxa" w:w="90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Annual review. Bands confirmed: Low 1 to 4, Medium 5 to 9, High 10 to 14, Extreme 15 to 25.</w:t>
            </w:r>
          </w:p>
        </w:tc>
        <w:tc>
          <w:tcPr>
            <w:tcW w:type="dxa" w:w="2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Rajesh Iyengar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6838" w:h="11906" w:orient="landscape"/>
      <w:pgMar w:top="1000" w:right="1077" w:bottom="1100" w:left="1077" w:header="480" w:footer="40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5D2DE" w:sz="4" w:space="6"/>
      </w:pBdr>
      <w:tabs>
        <w:tab w:val="right" w:pos="14684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Logistics Pty Ltd  ·  SRL-CR-061 Version 3.0  ·  Uncontrolled when printed</w:t>
    </w:r>
    <w:r>
      <w:rPr>
        <w:rFonts w:ascii="Aptos" w:cs="Aptos" w:eastAsia="Aptos" w:hAnsi="Aptos"/>
        <w:color w:val="013056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13056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13056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13056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5E7C99"/>
        <w:sz w:val="13"/>
        <w:szCs w:val="13"/>
      </w:rPr>
      <w:t xml:space="preserve">Simulated organisation. Created by Training Worx Australia (RTO 52508) for assessment purposes only.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5D2DE" w:sz="4" w:space="6"/>
      </w:pBdr>
      <w:tabs>
        <w:tab w:val="right" w:pos="14684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Logistics Pty Ltd  ·  SRL-CR-061 Version 3.0  ·  Uncontrolled when printed</w:t>
    </w:r>
    <w:r>
      <w:rPr>
        <w:rFonts w:ascii="Aptos" w:cs="Aptos" w:eastAsia="Aptos" w:hAnsi="Aptos"/>
        <w:color w:val="013056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13056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13056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13056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5E7C99"/>
        <w:sz w:val="13"/>
        <w:szCs w:val="13"/>
      </w:rPr>
      <w:t xml:space="preserve">Simulated organisation. Created by Training Worx Australia (RTO 52508) for assessment purposes only.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13056" w:sz="6" w:space="6"/>
      </w:pBdr>
      <w:tabs>
        <w:tab w:val="right" w:pos="14684"/>
      </w:tabs>
    </w:pPr>
    <w:r>
      <w:drawing>
        <wp:inline distT="0" distB="0" distL="0" distR="0">
          <wp:extent cx="161925" cy="1905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" cy="190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ptos" w:cs="Aptos" w:eastAsia="Aptos" w:hAnsi="Aptos"/>
        <w:b/>
        <w:bCs/>
        <w:color w:val="013056"/>
        <w:sz w:val="17"/>
        <w:szCs w:val="17"/>
      </w:rPr>
      <w:t xml:space="preserve">  SteelRiver Logistics</w:t>
    </w:r>
    <w:r>
      <w:rPr>
        <w:rFonts w:ascii="Aptos" w:cs="Aptos" w:eastAsia="Aptos" w:hAnsi="Aptos"/>
        <w:color w:val="5F6B77"/>
        <w:sz w:val="16"/>
        <w:szCs w:val="16"/>
      </w:rPr>
      <w:t xml:space="preserve">	SRL-CR-061  ·  Risk Assessment Template and SRL 5x5 Risk Matrix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360" w:hanging="260"/>
      </w:pPr>
      <w:rPr>
        <w:color w:val="5E7C99"/>
        <w:sz w:val="14"/>
        <w:szCs w:val="14"/>
      </w:rPr>
    </w:lvl>
    <w:lvl w:ilvl="1" w15:tentative="1">
      <w:start w:val="1"/>
      <w:numFmt w:val="bullet"/>
      <w:lvlText w:val="–"/>
      <w:lvlJc w:val="left"/>
      <w:pPr>
        <w:ind w:left="720" w:hanging="260"/>
      </w:pPr>
      <w:rPr>
        <w:color w:val="5E7C99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13056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E28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image" Target="media/f0f522d953708057eaf47c9f07cc03c6d7f53fc0.png"/><Relationship Id="rId11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8cfb3180d16a8eee545abda86cd4375cdc466e6.png"/></Relationships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SRL-CR-061 Risk Assessment Template and SRL 5x5 Risk Matrix</dc:title>
  <dc:creator>SteelRiver Logistics Pty Ltd</dc:creator>
  <cp:lastModifiedBy>Un-named</cp:lastModifiedBy>
  <cp:revision>1</cp:revision>
  <dcterms:created xsi:type="dcterms:W3CDTF">2026-10-28T08:26:13.311Z</dcterms:created>
  <dcterms:modified xsi:type="dcterms:W3CDTF">2026-10-28T08:26:13.311Z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