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FORM</w:t>
            </w:r>
          </w:p>
          <w:p>
            <w:pPr>
              <w:spacing w:after="0"/>
              <w:jc w:val="right"/>
            </w:pPr>
            <w:r>
              <w:rPr>
                <w:rFonts w:ascii="Aptos Display" w:cs="Aptos Display" w:eastAsia="Aptos Display" w:hAnsi="Aptos Display"/>
                <w:b/>
                <w:bCs/>
                <w:color w:val="013056"/>
                <w:sz w:val="36"/>
                <w:szCs w:val="36"/>
              </w:rPr>
              <w:t xml:space="preserve">SRL-CR-067</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Dangerous Goods Manifest, Perth DC</w:t>
      </w:r>
    </w:p>
    <w:p>
      <w:pPr>
        <w:spacing w:before="0" w:after="160" w:line="276"/>
      </w:pPr>
      <w:r>
        <w:rPr>
          <w:rFonts w:ascii="Aptos" w:cs="Aptos" w:eastAsia="Aptos" w:hAnsi="Aptos"/>
          <w:color w:val="5E7C99"/>
          <w:sz w:val="24"/>
          <w:szCs w:val="24"/>
        </w:rPr>
        <w:t xml:space="preserve">Dangerous goods and combustible liquids stored at the Perth DC, for emergency services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SRL-CR-067</w:t>
            </w:r>
          </w:p>
        </w:tc>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Daniela Marquez, WHS Coordinator (candidate role in some units), manifest holder</w:t>
            </w:r>
          </w:p>
        </w:tc>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 March 2026</w:t>
            </w:r>
          </w:p>
        </w:tc>
      </w:tr>
      <w:tr>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 (Dangerous Goods Officer)</w:t>
            </w:r>
          </w:p>
        </w:tc>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2027, or within 5 working days of any change</w:t>
            </w:r>
          </w:p>
        </w:tc>
      </w:tr>
      <w:tr>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Perth DC, Lot 14 Kewdale Road, Kewdale WA 6105</w:t>
            </w:r>
          </w:p>
        </w:tc>
        <w:tc>
          <w:tcPr>
            <w:tcW w:type="dxa" w:w="3671"/>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3671"/>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14684"/>
        <w:tblBorders>
          <w:top w:val="single" w:color="auto" w:sz="4"/>
          <w:left w:val="single" w:color="auto" w:sz="4"/>
          <w:bottom w:val="single" w:color="auto" w:sz="4"/>
          <w:right w:val="single" w:color="auto" w:sz="4"/>
          <w:insideH w:val="single" w:color="auto" w:sz="4"/>
          <w:insideV w:val="single" w:color="auto" w:sz="4"/>
        </w:tblBorders>
      </w:tblPr>
      <w:tblGrid>
        <w:gridCol w:w="14684"/>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For emergency services</w:t>
            </w:r>
          </w:p>
          <w:p>
            <w:pPr>
              <w:spacing w:before="0" w:after="60" w:line="276"/>
            </w:pPr>
            <w:r>
              <w:rPr>
                <w:rFonts w:ascii="Aptos" w:cs="Aptos" w:eastAsia="Aptos" w:hAnsi="Aptos"/>
                <w:color w:val="1E2833"/>
                <w:sz w:val="20"/>
                <w:szCs w:val="20"/>
              </w:rPr>
              <w:t xml:space="preserve">Site emergency controller in business hours: Distribution Centre Manager. After hours: the supervisor on duty. Meet at gate 1.</w:t>
            </w:r>
          </w:p>
          <w:p>
            <w:pPr>
              <w:spacing w:before="0" w:after="60" w:line="276"/>
            </w:pPr>
            <w:r>
              <w:rPr>
                <w:rFonts w:ascii="Aptos" w:cs="Aptos" w:eastAsia="Aptos" w:hAnsi="Aptos"/>
                <w:color w:val="1E2833"/>
                <w:sz w:val="20"/>
                <w:szCs w:val="20"/>
              </w:rPr>
              <w:t xml:space="preserve">The site plan showing the storage areas, exits, hydrants and emergency equipment is kept with this manifest (SRL-CR-004 Perth DC Site Profile and Site Plan).</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Manifest details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11484"/>
      </w:tblGrid>
      <w:tr>
        <w:trPr>
          <w:cantSplit/>
          <w:tblHeader/>
        </w:trPr>
        <w:tc>
          <w:tcPr>
            <w:tcW w:type="dxa" w:w="3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114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name and address</w:t>
            </w:r>
          </w:p>
        </w:tc>
        <w:tc>
          <w:tcPr>
            <w:tcW w:type="dxa" w:w="114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Logistics Perth DC, Lot 14 Kewdale Road, Kewdale WA 6105</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Occupier</w:t>
            </w:r>
          </w:p>
        </w:tc>
        <w:tc>
          <w:tcPr>
            <w:tcW w:type="dxa" w:w="114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Logistics Pty Ltd (ABN 59 412 088 731)</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Law</w:t>
            </w:r>
          </w:p>
        </w:tc>
        <w:tc>
          <w:tcPr>
            <w:tcW w:type="dxa" w:w="114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Dangerous Goods Safety Act 2004 (WA) and Dangerous Goods Safety (Storage and Handling of Non-explosives) Regulations 2007 (WA); hazardous chemicals duties in the Work Health and Safety (General) Regulations 2022 (WA)</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classification</w:t>
            </w:r>
          </w:p>
        </w:tc>
        <w:tc>
          <w:tcPr>
            <w:tcW w:type="dxa" w:w="114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Storage of dangerous goods below the Major Hazard Facility thresholds</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Manifest holder</w:t>
            </w:r>
          </w:p>
        </w:tc>
        <w:tc>
          <w:tcPr>
            <w:tcW w:type="dxa" w:w="114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WHS Coordinator, Perth DC, supported by the Operations Manager</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Dangerous Goods Officer</w:t>
            </w:r>
          </w:p>
        </w:tc>
        <w:tc>
          <w:tcPr>
            <w:tcW w:type="dxa" w:w="114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Priya Sharma, National WHS Manager</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Date prepared</w:t>
            </w:r>
          </w:p>
        </w:tc>
        <w:tc>
          <w:tcPr>
            <w:tcW w:type="dxa" w:w="114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 March 2026</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Next review</w:t>
            </w:r>
          </w:p>
        </w:tc>
        <w:tc>
          <w:tcPr>
            <w:tcW w:type="dxa" w:w="114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March 2027, or within 5 working days of any change</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Where the manifest is kept</w:t>
            </w:r>
          </w:p>
        </w:tc>
        <w:tc>
          <w:tcPr>
            <w:tcW w:type="dxa" w:w="114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Manifest box at gate 1 (main gate, Kewdale Road), weatherproof, with a "Hazchem Manifest" sign. A second copy is in the WHS office.</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Manifest box key</w:t>
            </w:r>
          </w:p>
        </w:tc>
        <w:tc>
          <w:tcPr>
            <w:tcW w:type="dxa" w:w="114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Admin building reception</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plan</w:t>
            </w:r>
          </w:p>
        </w:tc>
        <w:tc>
          <w:tcPr>
            <w:tcW w:type="dxa" w:w="114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SRL-CR-004 Perth DC Site Profile and Site Plan, kept in the manifest box with this manifest</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Emergency response</w:t>
            </w:r>
          </w:p>
        </w:tc>
        <w:tc>
          <w:tcPr>
            <w:tcW w:type="dxa" w:w="114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DC Manager (Lisa Anand, candidate role in some units) is the site emergency controller. DFES is the primary emergency agency. Emergency arrangements: SRL-CR-014 Emergency Management Plan, Perth DC, and SRL-CR-036 Emergency Response and Evacuation Procedures, Perth DC.</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Storage areas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2600"/>
        <w:gridCol w:w="1700"/>
        <w:gridCol w:w="2300"/>
        <w:gridCol w:w="3600"/>
        <w:gridCol w:w="2984"/>
      </w:tblGrid>
      <w:tr>
        <w:trPr>
          <w:cantSplit/>
          <w:tblHeader/>
        </w:trPr>
        <w:tc>
          <w:tcPr>
            <w:tcW w:type="dxa" w:w="1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Storage area</w:t>
            </w:r>
          </w:p>
        </w:tc>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Location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Classes stored</w:t>
            </w:r>
          </w:p>
        </w:tc>
        <w:tc>
          <w:tcPr>
            <w:tcW w:type="dxa" w:w="2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Maximum quantity</w:t>
            </w:r>
          </w:p>
        </w:tc>
        <w:tc>
          <w:tcPr>
            <w:tcW w:type="dxa" w:w="3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Emergency equipment</w:t>
            </w:r>
          </w:p>
        </w:tc>
        <w:tc>
          <w:tcPr>
            <w:tcW w:type="dxa" w:w="29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Key controls</w:t>
            </w:r>
          </w:p>
        </w:tc>
      </w:tr>
      <w:tr>
        <w:trPr>
          <w:cantSplit/>
        </w:trPr>
        <w:tc>
          <w:tcPr>
            <w:tcW w:type="dxa" w:w="1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DG-AREA-01</w:t>
            </w: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Yard, north-east corner: bulk diesel tank</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 combustible liquid</w:t>
            </w:r>
          </w:p>
        </w:tc>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5,000 L diesel</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Extinguishers EX-28 and EX-29 (dry chemical 9 kg); emergency stop on the pump; diesel spill kit SK-01 (kept inside inbound dock 1)</w:t>
            </w:r>
          </w:p>
        </w:tc>
        <w:tc>
          <w:tcPr>
            <w:tcW w:type="dxa" w:w="29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Bunded steel tank; no smoking or ignition sources; delivery supervised by the inbound lead</w:t>
            </w:r>
          </w:p>
        </w:tc>
      </w:tr>
      <w:tr>
        <w:trPr>
          <w:cantSplit/>
        </w:trPr>
        <w:tc>
          <w:tcPr>
            <w:tcW w:type="dxa" w:w="1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DG-AREA-02</w:t>
            </w:r>
          </w:p>
        </w:tc>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Indoor: battery charging bay, west wall north of inbound dock 4</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8</w:t>
            </w:r>
          </w:p>
        </w:tc>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200 L battery electrolyte (in service)</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Eyewash and shower ES-01; acid spill kit SK-02 (neutraliser); extinguisher EX-12 (CO2 3.5 kg); charger isolator outside the bay door</w:t>
            </w:r>
          </w:p>
        </w:tc>
        <w:tc>
          <w:tcPr>
            <w:tcW w:type="dxa" w:w="29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Bunded concrete floor; extraction fan; chargers on a separate isolator</w:t>
            </w:r>
          </w:p>
        </w:tc>
      </w:tr>
      <w:tr>
        <w:trPr>
          <w:cantSplit/>
        </w:trPr>
        <w:tc>
          <w:tcPr>
            <w:tcW w:type="dxa" w:w="1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DG-AREA-03</w:t>
            </w: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Outdoor gas cage, east boundary near gate 2</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2.1 and Class 2.2</w:t>
            </w:r>
          </w:p>
        </w:tc>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acetylene and 1 oxygen cylinder (G size); up to 6 LPG cylinders of 18 kg</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Extinguisher EX-30 (dry chemical 9 kg)</w:t>
            </w:r>
          </w:p>
        </w:tc>
        <w:tc>
          <w:tcPr>
            <w:tcW w:type="dxa" w:w="29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Open-air mesh cage; cylinders chained upright; flammable and oxidising gases separated; no ignition sources</w:t>
            </w:r>
          </w:p>
        </w:tc>
      </w:tr>
      <w:tr>
        <w:trPr>
          <w:cantSplit/>
        </w:trPr>
        <w:tc>
          <w:tcPr>
            <w:tcW w:type="dxa" w:w="1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DG-AREA-04</w:t>
            </w:r>
          </w:p>
        </w:tc>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Indoor: cleaning store, locked, near the amenities</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8 and Class 2.1</w:t>
            </w:r>
          </w:p>
        </w:tc>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100 L Class 8 liquids; 12 aerosol cans</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Extinguisher EX-25 (dry chemical 4.5 kg); eyewash station ES-02; general spill kit SK-03</w:t>
            </w:r>
          </w:p>
        </w:tc>
        <w:tc>
          <w:tcPr>
            <w:tcW w:type="dxa" w:w="29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Lockable store; bunded shelving; hypochlorite kept apart from acids; flammable goods cabinet for aerosols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Substances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300"/>
        <w:gridCol w:w="1100"/>
        <w:gridCol w:w="1900"/>
        <w:gridCol w:w="1200"/>
        <w:gridCol w:w="2300"/>
        <w:gridCol w:w="2100"/>
        <w:gridCol w:w="1200"/>
        <w:gridCol w:w="1084"/>
      </w:tblGrid>
      <w:tr>
        <w:trPr>
          <w:cantSplit/>
          <w:tblHeader/>
        </w:trPr>
        <w:tc>
          <w:tcPr>
            <w:tcW w:type="dxa" w:w="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w:t>
            </w:r>
          </w:p>
        </w:tc>
        <w:tc>
          <w:tcPr>
            <w:tcW w:type="dxa" w:w="3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Proper shipping name</w:t>
            </w:r>
          </w:p>
        </w:tc>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 number</w:t>
            </w:r>
          </w:p>
        </w:tc>
        <w:tc>
          <w:tcPr>
            <w:tcW w:type="dxa" w:w="1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Class or division</w:t>
            </w:r>
          </w:p>
        </w:tc>
        <w:tc>
          <w:tcPr>
            <w:tcW w:type="dxa" w:w="1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Packing group</w:t>
            </w:r>
          </w:p>
        </w:tc>
        <w:tc>
          <w:tcPr>
            <w:tcW w:type="dxa" w:w="2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Maximum quantity</w:t>
            </w:r>
          </w:p>
        </w:tc>
        <w:tc>
          <w:tcPr>
            <w:tcW w:type="dxa" w:w="2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Container</w:t>
            </w:r>
          </w:p>
        </w:tc>
        <w:tc>
          <w:tcPr>
            <w:tcW w:type="dxa" w:w="1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Storage area</w:t>
            </w:r>
          </w:p>
        </w:tc>
        <w:tc>
          <w:tcPr>
            <w:tcW w:type="dxa" w:w="10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Hazchem code</w:t>
            </w:r>
          </w:p>
        </w:tc>
      </w:tr>
      <w:tr>
        <w:trPr>
          <w:cantSplit/>
        </w:trPr>
        <w:tc>
          <w:tcPr>
            <w:tcW w:type="dxa" w:w="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Diesel fuel</w:t>
            </w:r>
          </w:p>
        </w:tc>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 1202</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 combustible liquid (not Class 3)</w:t>
            </w:r>
          </w:p>
        </w:tc>
        <w:tc>
          <w:tcPr>
            <w:tcW w:type="dxa" w:w="1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III</w:t>
            </w:r>
          </w:p>
        </w:tc>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5,000 L</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Bulk steel tank, bunded</w:t>
            </w:r>
          </w:p>
        </w:tc>
        <w:tc>
          <w:tcPr>
            <w:tcW w:type="dxa" w:w="1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DG-AREA-01</w:t>
            </w:r>
          </w:p>
        </w:tc>
        <w:tc>
          <w:tcPr>
            <w:tcW w:type="dxa" w:w="10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required (C1)</w:t>
            </w:r>
          </w:p>
        </w:tc>
      </w:tr>
      <w:tr>
        <w:trPr>
          <w:cantSplit/>
        </w:trPr>
        <w:tc>
          <w:tcPr>
            <w:tcW w:type="dxa" w:w="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Battery fluid, acid (sulfuric acid electrolyte)</w:t>
            </w:r>
          </w:p>
        </w:tc>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 2796</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8</w:t>
            </w:r>
          </w:p>
        </w:tc>
        <w:tc>
          <w:tcPr>
            <w:tcW w:type="dxa" w:w="1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II</w:t>
            </w:r>
          </w:p>
        </w:tc>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200 L (in service)</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 lead-acid traction batteries</w:t>
            </w:r>
          </w:p>
        </w:tc>
        <w:tc>
          <w:tcPr>
            <w:tcW w:type="dxa" w:w="1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DG-AREA-02</w:t>
            </w:r>
          </w:p>
        </w:tc>
        <w:tc>
          <w:tcPr>
            <w:tcW w:type="dxa" w:w="10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2R</w:t>
            </w:r>
          </w:p>
        </w:tc>
      </w:tr>
      <w:tr>
        <w:trPr>
          <w:cantSplit/>
        </w:trPr>
        <w:tc>
          <w:tcPr>
            <w:tcW w:type="dxa" w:w="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Caustic alkali liquid, n.o.s. (industrial degreaser)</w:t>
            </w:r>
          </w:p>
        </w:tc>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 1719</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8</w:t>
            </w:r>
          </w:p>
        </w:tc>
        <w:tc>
          <w:tcPr>
            <w:tcW w:type="dxa" w:w="1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II</w:t>
            </w:r>
          </w:p>
        </w:tc>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60 L</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L drums</w:t>
            </w:r>
          </w:p>
        </w:tc>
        <w:tc>
          <w:tcPr>
            <w:tcW w:type="dxa" w:w="1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DG-AREA-04</w:t>
            </w:r>
          </w:p>
        </w:tc>
        <w:tc>
          <w:tcPr>
            <w:tcW w:type="dxa" w:w="10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2R</w:t>
            </w:r>
          </w:p>
        </w:tc>
      </w:tr>
      <w:tr>
        <w:trPr>
          <w:cantSplit/>
        </w:trPr>
        <w:tc>
          <w:tcPr>
            <w:tcW w:type="dxa" w:w="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Hypochlorite solution (sodium hypochlorite 12.5%)</w:t>
            </w:r>
          </w:p>
        </w:tc>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 1791</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8</w:t>
            </w:r>
          </w:p>
        </w:tc>
        <w:tc>
          <w:tcPr>
            <w:tcW w:type="dxa" w:w="1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III</w:t>
            </w:r>
          </w:p>
        </w:tc>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40 L</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L drums</w:t>
            </w:r>
          </w:p>
        </w:tc>
        <w:tc>
          <w:tcPr>
            <w:tcW w:type="dxa" w:w="1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DG-AREA-04</w:t>
            </w:r>
          </w:p>
        </w:tc>
        <w:tc>
          <w:tcPr>
            <w:tcW w:type="dxa" w:w="10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2X</w:t>
            </w:r>
          </w:p>
        </w:tc>
      </w:tr>
      <w:tr>
        <w:trPr>
          <w:cantSplit/>
        </w:trPr>
        <w:tc>
          <w:tcPr>
            <w:tcW w:type="dxa" w:w="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Aerosols, flammable (lubricant)</w:t>
            </w:r>
          </w:p>
        </w:tc>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 1950</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2.1</w:t>
            </w:r>
          </w:p>
        </w:tc>
        <w:tc>
          <w:tcPr>
            <w:tcW w:type="dxa" w:w="1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cans (4.8 L)</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Aerosol cans in a flammable goods cabinet</w:t>
            </w:r>
          </w:p>
        </w:tc>
        <w:tc>
          <w:tcPr>
            <w:tcW w:type="dxa" w:w="1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DG-AREA-04</w:t>
            </w:r>
          </w:p>
        </w:tc>
        <w:tc>
          <w:tcPr>
            <w:tcW w:type="dxa" w:w="10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2YE</w:t>
            </w:r>
          </w:p>
        </w:tc>
      </w:tr>
      <w:tr>
        <w:trPr>
          <w:cantSplit/>
        </w:trPr>
        <w:tc>
          <w:tcPr>
            <w:tcW w:type="dxa" w:w="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Acetylene, dissolved</w:t>
            </w:r>
          </w:p>
        </w:tc>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 1001</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2.1</w:t>
            </w:r>
          </w:p>
        </w:tc>
        <w:tc>
          <w:tcPr>
            <w:tcW w:type="dxa" w:w="1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cylinder (G size)</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Pressure cylinder</w:t>
            </w:r>
          </w:p>
        </w:tc>
        <w:tc>
          <w:tcPr>
            <w:tcW w:type="dxa" w:w="1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DG-AREA-03</w:t>
            </w:r>
          </w:p>
        </w:tc>
        <w:tc>
          <w:tcPr>
            <w:tcW w:type="dxa" w:w="10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2SE</w:t>
            </w:r>
          </w:p>
        </w:tc>
      </w:tr>
      <w:tr>
        <w:trPr>
          <w:cantSplit/>
        </w:trPr>
        <w:tc>
          <w:tcPr>
            <w:tcW w:type="dxa" w:w="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Oxygen, compressed</w:t>
            </w:r>
          </w:p>
        </w:tc>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 1072</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2.2 (subsidiary 5.1)</w:t>
            </w:r>
          </w:p>
        </w:tc>
        <w:tc>
          <w:tcPr>
            <w:tcW w:type="dxa" w:w="1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cylinder (G size)</w:t>
            </w:r>
          </w:p>
        </w:tc>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Pressure cylinder</w:t>
            </w:r>
          </w:p>
        </w:tc>
        <w:tc>
          <w:tcPr>
            <w:tcW w:type="dxa" w:w="1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DG-AREA-03</w:t>
            </w:r>
          </w:p>
        </w:tc>
        <w:tc>
          <w:tcPr>
            <w:tcW w:type="dxa" w:w="10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2S</w:t>
            </w:r>
          </w:p>
        </w:tc>
      </w:tr>
      <w:tr>
        <w:trPr>
          <w:cantSplit/>
        </w:trPr>
        <w:tc>
          <w:tcPr>
            <w:tcW w:type="dxa" w:w="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Liquefied petroleum gas (forklift fuel)</w:t>
            </w:r>
          </w:p>
        </w:tc>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 1075</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2.1</w:t>
            </w:r>
          </w:p>
        </w:tc>
        <w:tc>
          <w:tcPr>
            <w:tcW w:type="dxa" w:w="1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Up to 6 x 18 kg (2 fitted to forklifts FL-01 and FL-02)</w:t>
            </w:r>
          </w:p>
        </w:tc>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 gas cylinders</w:t>
            </w:r>
          </w:p>
        </w:tc>
        <w:tc>
          <w:tcPr>
            <w:tcW w:type="dxa" w:w="1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DG-AREA-03</w:t>
            </w:r>
          </w:p>
        </w:tc>
        <w:tc>
          <w:tcPr>
            <w:tcW w:type="dxa" w:w="10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2YE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Emergency contacts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0"/>
        <w:gridCol w:w="7684"/>
      </w:tblGrid>
      <w:tr>
        <w:trPr>
          <w:cantSplit/>
          <w:tblHeader/>
        </w:trPr>
        <w:tc>
          <w:tcPr>
            <w:tcW w:type="dxa" w:w="7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Contact</w:t>
            </w:r>
          </w:p>
        </w:tc>
        <w:tc>
          <w:tcPr>
            <w:tcW w:type="dxa" w:w="76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Number</w:t>
            </w:r>
          </w:p>
        </w:tc>
      </w:tr>
      <w:tr>
        <w:trPr>
          <w:cantSplit/>
        </w:trPr>
        <w:tc>
          <w:tcPr>
            <w:tcW w:type="dxa" w:w="7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Fire, ambulance, police</w:t>
            </w:r>
          </w:p>
        </w:tc>
        <w:tc>
          <w:tcPr>
            <w:tcW w:type="dxa" w:w="76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000</w:t>
            </w:r>
          </w:p>
        </w:tc>
      </w:tr>
      <w:tr>
        <w:trPr>
          <w:cantSplit/>
        </w:trPr>
        <w:tc>
          <w:tcPr>
            <w:tcW w:type="dxa" w:w="7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DFES (emergency information line)</w:t>
            </w:r>
          </w:p>
        </w:tc>
        <w:tc>
          <w:tcPr>
            <w:tcW w:type="dxa" w:w="76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13 33 37</w:t>
            </w:r>
          </w:p>
        </w:tc>
      </w:tr>
      <w:tr>
        <w:trPr>
          <w:cantSplit/>
        </w:trPr>
        <w:tc>
          <w:tcPr>
            <w:tcW w:type="dxa" w:w="7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Alarm monitoring company (24 hours)</w:t>
            </w:r>
          </w:p>
        </w:tc>
        <w:tc>
          <w:tcPr>
            <w:tcW w:type="dxa" w:w="76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1300 975 708</w:t>
            </w:r>
          </w:p>
        </w:tc>
      </w:tr>
      <w:tr>
        <w:trPr>
          <w:cantSplit/>
        </w:trPr>
        <w:tc>
          <w:tcPr>
            <w:tcW w:type="dxa" w:w="7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WorkSafe WA (work health and safety and dangerous goods safety)</w:t>
            </w:r>
          </w:p>
        </w:tc>
        <w:tc>
          <w:tcPr>
            <w:tcW w:type="dxa" w:w="76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1300 307 877</w:t>
            </w:r>
          </w:p>
        </w:tc>
      </w:tr>
      <w:tr>
        <w:trPr>
          <w:cantSplit/>
        </w:trPr>
        <w:tc>
          <w:tcPr>
            <w:tcW w:type="dxa" w:w="7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Dangerous Goods Officer: Priya Sharma, National WHS Manager</w:t>
            </w:r>
          </w:p>
        </w:tc>
        <w:tc>
          <w:tcPr>
            <w:tcW w:type="dxa" w:w="76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Mobile on the emergency contacts sheet in the manifest box</w:t>
            </w:r>
          </w:p>
        </w:tc>
      </w:tr>
      <w:tr>
        <w:trPr>
          <w:cantSplit/>
        </w:trPr>
        <w:tc>
          <w:tcPr>
            <w:tcW w:type="dxa" w:w="7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emergency controller: DC Manager</w:t>
            </w:r>
          </w:p>
        </w:tc>
        <w:tc>
          <w:tcPr>
            <w:tcW w:type="dxa" w:w="7684"/>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Mobile on the emergency contacts sheet in the manifest box</w:t>
            </w:r>
          </w:p>
        </w:tc>
      </w:tr>
      <w:tr>
        <w:trPr>
          <w:cantSplit/>
        </w:trPr>
        <w:tc>
          <w:tcPr>
            <w:tcW w:type="dxa" w:w="7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After hours: supervisor on duty</w:t>
            </w:r>
          </w:p>
        </w:tc>
        <w:tc>
          <w:tcPr>
            <w:tcW w:type="dxa" w:w="76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Gatehouse phone and the duty supervisor mobile on the emergency contacts sheet</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Keeping the manifest current</w:t>
      </w:r>
    </w:p>
    <w:p>
      <w:pPr>
        <w:pStyle w:val="ListParagraph"/>
        <w:numPr>
          <w:ilvl w:val="0"/>
          <w:numId w:val="2"/>
        </w:numPr>
        <w:spacing w:after="60" w:line="264"/>
      </w:pPr>
      <w:r>
        <w:rPr>
          <w:rFonts w:ascii="Aptos" w:cs="Aptos" w:eastAsia="Aptos" w:hAnsi="Aptos"/>
          <w:color w:val="1E2833"/>
          <w:sz w:val="20"/>
          <w:szCs w:val="20"/>
        </w:rPr>
        <w:t xml:space="preserve">The manifest holder updates the manifest within 5 working days of any change to the dangerous goods on site: a new substance, a substance removed, or a change to a maximum quantity or storage area. SRL-CR-065 Hazardous Chemicals Register, Perth DC, is updated at the same time.</w:t>
      </w:r>
    </w:p>
    <w:p>
      <w:pPr>
        <w:pStyle w:val="ListParagraph"/>
        <w:numPr>
          <w:ilvl w:val="0"/>
          <w:numId w:val="2"/>
        </w:numPr>
        <w:spacing w:after="60" w:line="264"/>
      </w:pPr>
      <w:r>
        <w:rPr>
          <w:rFonts w:ascii="Aptos" w:cs="Aptos" w:eastAsia="Aptos" w:hAnsi="Aptos"/>
          <w:color w:val="1E2833"/>
          <w:sz w:val="20"/>
          <w:szCs w:val="20"/>
        </w:rPr>
        <w:t xml:space="preserve">The manifest is reviewed at least once a year and after any change to the site layout.</w:t>
      </w:r>
    </w:p>
    <w:p>
      <w:pPr>
        <w:pStyle w:val="ListParagraph"/>
        <w:numPr>
          <w:ilvl w:val="0"/>
          <w:numId w:val="2"/>
        </w:numPr>
        <w:spacing w:after="60" w:line="264"/>
      </w:pPr>
      <w:r>
        <w:rPr>
          <w:rFonts w:ascii="Aptos" w:cs="Aptos" w:eastAsia="Aptos" w:hAnsi="Aptos"/>
          <w:color w:val="1E2833"/>
          <w:sz w:val="20"/>
          <w:szCs w:val="20"/>
        </w:rPr>
        <w:t xml:space="preserve">A copy of the manifest and site plan is given to DFES on request and at any DFES site familiarisation visit.</w:t>
      </w:r>
    </w:p>
    <w:p>
      <w:pPr>
        <w:pStyle w:val="ListParagraph"/>
        <w:numPr>
          <w:ilvl w:val="0"/>
          <w:numId w:val="2"/>
        </w:numPr>
        <w:spacing w:after="60" w:line="264"/>
      </w:pPr>
      <w:r>
        <w:rPr>
          <w:rFonts w:ascii="Aptos" w:cs="Aptos" w:eastAsia="Aptos" w:hAnsi="Aptos"/>
          <w:color w:val="1E2833"/>
          <w:sz w:val="20"/>
          <w:szCs w:val="20"/>
        </w:rPr>
        <w:t xml:space="preserve">Any dangerous goods incident (a spill, leak, fire or release involving dangerous goods) is reported at once to the site emergency controller and the Dangerous Goods Officer, who decides whether the regulator must be notified.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200"/>
        <w:gridCol w:w="7884"/>
        <w:gridCol w:w="3300"/>
      </w:tblGrid>
      <w:tr>
        <w:trPr>
          <w:cantSplit/>
          <w:tblHeader/>
        </w:trPr>
        <w:tc>
          <w:tcPr>
            <w:tcW w:type="dxa" w:w="1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7884"/>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3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March 2026</w:t>
            </w:r>
          </w:p>
        </w:tc>
        <w:tc>
          <w:tcPr>
            <w:tcW w:type="dxa" w:w="7884"/>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review. Renumbered SRL-CR-067. Dangerous Goods Officer changed to the National WHS Manager. LPG forklift cylinders listed in DG-AREA-03. Diesel shown as a C1 combustible liquid. Regulator contact updated to WorkSafe WA. Site plan reference changed to SRL-CR-004.</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 National WHS Manager</w:t>
            </w: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14684"/>
      </w:tabs>
    </w:pPr>
    <w:r>
      <w:rPr>
        <w:rFonts w:ascii="Aptos" w:cs="Aptos" w:eastAsia="Aptos" w:hAnsi="Aptos"/>
        <w:color w:val="5F6B77"/>
        <w:sz w:val="14"/>
        <w:szCs w:val="14"/>
      </w:rPr>
      <w:t xml:space="preserve">SteelRiver Logistics Pty Ltd  ·  SRL-CR-067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14684"/>
      </w:tabs>
    </w:pPr>
    <w:r>
      <w:rPr>
        <w:rFonts w:ascii="Aptos" w:cs="Aptos" w:eastAsia="Aptos" w:hAnsi="Aptos"/>
        <w:color w:val="5F6B77"/>
        <w:sz w:val="14"/>
        <w:szCs w:val="14"/>
      </w:rPr>
      <w:t xml:space="preserve">SteelRiver Logistics Pty Ltd  ·  SRL-CR-067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14684"/>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SRL-CR-067  ·  Dangerous Goods Manifest, Perth DC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SRL-CR-067 Dangerous Goods Manifest, Perth DC</dc:title>
  <dc:creator>SteelRiver Logistics Pty Ltd</dc:creator>
  <cp:lastModifiedBy>Un-named</cp:lastModifiedBy>
  <cp:revision>1</cp:revision>
  <dcterms:created xsi:type="dcterms:W3CDTF">2026-10-28T08:26:14.079Z</dcterms:created>
  <dcterms:modified xsi:type="dcterms:W3CDTF">2026-10-28T08:26:14.079Z</dcterms:modified>
</cp:coreProperties>
</file>

<file path=docProps/custom.xml><?xml version="1.0" encoding="utf-8"?>
<Properties xmlns="http://schemas.openxmlformats.org/officeDocument/2006/custom-properties" xmlns:vt="http://schemas.openxmlformats.org/officeDocument/2006/docPropsVTypes"/>
</file>