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DATA EXTRACT</w:t>
            </w:r>
          </w:p>
          <w:p>
            <w:pPr>
              <w:spacing w:after="0"/>
              <w:jc w:val="right"/>
            </w:pPr>
            <w:r>
              <w:rPr>
                <w:rFonts w:ascii="Aptos Display" w:cs="Aptos Display" w:eastAsia="Aptos Display" w:hAnsi="Aptos Display"/>
                <w:b/>
                <w:bCs/>
                <w:color w:val="013056"/>
                <w:sz w:val="36"/>
                <w:szCs w:val="36"/>
              </w:rPr>
              <w:t xml:space="preserve">SRL-CR-134</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Perth DC Mobile Plant Specifications and Operating Data Extract</w:t>
      </w:r>
    </w:p>
    <w:p>
      <w:pPr>
        <w:spacing w:before="0" w:after="160" w:line="276"/>
      </w:pPr>
      <w:r>
        <w:rPr>
          <w:rFonts w:ascii="Aptos" w:cs="Aptos" w:eastAsia="Aptos" w:hAnsi="Aptos"/>
          <w:color w:val="5E7C99"/>
          <w:sz w:val="24"/>
          <w:szCs w:val="24"/>
        </w:rPr>
        <w:t xml:space="preserve">Manufacturer specifications, operator manual extracts and the February 2026 plant movement count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SRL-CR-134</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Daniela Marquez, WHS Coordinator (candidate role in some units)</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27 February 2026</w:t>
            </w:r>
          </w:p>
        </w:tc>
      </w:tr>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Lisa Anand, Distribution Centre Manager (candidate role in some units)</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When plant is acquired or modified, or the count is repeated</w:t>
            </w:r>
          </w:p>
        </w:tc>
      </w:tr>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mobile plant</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About this extract</w:t>
      </w:r>
    </w:p>
    <w:p>
      <w:pPr>
        <w:spacing w:before="0" w:after="120" w:line="276"/>
      </w:pPr>
      <w:r>
        <w:rPr>
          <w:rFonts w:ascii="Aptos" w:cs="Aptos" w:eastAsia="Aptos" w:hAnsi="Aptos"/>
          <w:color w:val="1E2833"/>
          <w:sz w:val="20"/>
          <w:szCs w:val="20"/>
        </w:rPr>
        <w:t xml:space="preserve">This extract brings together the manufacturer information and operating data for the mobile plant listed in SRL-CR-066 Plant Register, Perth DC. Sections 2 to 4 are taken from the manufacturers' specification sheets and operator manuals held in Limble CMMS against each asset. Section 5 is the result of a one-week count of plant movements carried out by the WHS team. Make and model names in this extract are simulated.</w:t>
      </w:r>
    </w:p>
    <w:p>
      <w:pPr>
        <w:pStyle w:val="ListParagraph"/>
        <w:numPr>
          <w:ilvl w:val="0"/>
          <w:numId w:val="2"/>
        </w:numPr>
        <w:spacing w:after="60" w:line="264"/>
      </w:pPr>
      <w:r>
        <w:rPr>
          <w:rFonts w:ascii="Aptos" w:cs="Aptos" w:eastAsia="Aptos" w:hAnsi="Aptos"/>
          <w:color w:val="1E2833"/>
          <w:sz w:val="20"/>
          <w:szCs w:val="20"/>
        </w:rPr>
        <w:t xml:space="preserve">Prepared by Maya Atherton, WHS Administration Officer, and Tariq Ahmed, Graduate WHS Officer, for the WHS Coordinator.</w:t>
      </w:r>
    </w:p>
    <w:p>
      <w:pPr>
        <w:pStyle w:val="ListParagraph"/>
        <w:numPr>
          <w:ilvl w:val="0"/>
          <w:numId w:val="2"/>
        </w:numPr>
        <w:spacing w:after="60" w:line="264"/>
      </w:pPr>
      <w:r>
        <w:rPr>
          <w:rFonts w:ascii="Aptos" w:cs="Aptos" w:eastAsia="Aptos" w:hAnsi="Aptos"/>
          <w:color w:val="1E2833"/>
          <w:sz w:val="20"/>
          <w:szCs w:val="20"/>
        </w:rPr>
        <w:t xml:space="preserve">Speeds are the manufacturer's rated maximum travel speeds on a level, dry floor. They are not measured speeds at the Perth DC.</w:t>
      </w:r>
    </w:p>
    <w:p>
      <w:pPr>
        <w:pStyle w:val="ListParagraph"/>
        <w:numPr>
          <w:ilvl w:val="0"/>
          <w:numId w:val="2"/>
        </w:numPr>
        <w:spacing w:after="60" w:line="264"/>
      </w:pPr>
      <w:r>
        <w:rPr>
          <w:rFonts w:ascii="Aptos" w:cs="Aptos" w:eastAsia="Aptos" w:hAnsi="Aptos"/>
          <w:color w:val="1E2833"/>
          <w:sz w:val="20"/>
          <w:szCs w:val="20"/>
        </w:rPr>
        <w:t xml:space="preserve">Site rules for operating the plant are in SRL-CR-042; traffic routes and zones are in SRL-CR-043.</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Plant covered</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900"/>
        <w:gridCol w:w="2000"/>
        <w:gridCol w:w="3000"/>
        <w:gridCol w:w="900"/>
        <w:gridCol w:w="4384"/>
      </w:tblGrid>
      <w:tr>
        <w:trPr>
          <w:cantSplit/>
          <w:tblHeader/>
        </w:trPr>
        <w:tc>
          <w:tcPr>
            <w:tcW w:type="dxa" w:w="1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Asset ID</w:t>
            </w:r>
          </w:p>
        </w:tc>
        <w:tc>
          <w:tcPr>
            <w:tcW w:type="dxa" w:w="2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Type</w:t>
            </w:r>
          </w:p>
        </w:tc>
        <w:tc>
          <w:tcPr>
            <w:tcW w:type="dxa" w:w="2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Make and model</w:t>
            </w:r>
          </w:p>
        </w:tc>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Power</w:t>
            </w:r>
          </w:p>
        </w:tc>
        <w:tc>
          <w:tcPr>
            <w:tcW w:type="dxa" w:w="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Year</w:t>
            </w:r>
          </w:p>
        </w:tc>
        <w:tc>
          <w:tcPr>
            <w:tcW w:type="dxa" w:w="43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work areas (SRL-CR-066)</w:t>
            </w:r>
          </w:p>
        </w:tc>
      </w:tr>
      <w:tr>
        <w:trPr>
          <w:cantSplit/>
        </w:trPr>
        <w:tc>
          <w:tcPr>
            <w:tcW w:type="dxa" w:w="1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FL-01</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 2.5 t</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Arcmont AC25-G</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LPG (18 kg cylinder)</w:t>
            </w:r>
          </w:p>
        </w:tc>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2019</w:t>
            </w:r>
          </w:p>
        </w:tc>
        <w:tc>
          <w:tcPr>
            <w:tcW w:type="dxa" w:w="43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1 and 2, staging, yard</w:t>
            </w:r>
          </w:p>
        </w:tc>
      </w:tr>
      <w:tr>
        <w:trPr>
          <w:cantSplit/>
        </w:trPr>
        <w:tc>
          <w:tcPr>
            <w:tcW w:type="dxa" w:w="1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FL-02</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 2.5 t</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Arcmont AC25-G</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LPG (18 kg cylinder)</w:t>
            </w:r>
          </w:p>
        </w:tc>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2020</w:t>
            </w:r>
          </w:p>
        </w:tc>
        <w:tc>
          <w:tcPr>
            <w:tcW w:type="dxa" w:w="43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3 and 4, dispatch lanes, yard</w:t>
            </w:r>
          </w:p>
        </w:tc>
      </w:tr>
      <w:tr>
        <w:trPr>
          <w:cantSplit/>
        </w:trPr>
        <w:tc>
          <w:tcPr>
            <w:tcW w:type="dxa" w:w="1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FL-03</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 2.0 t</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Arcmont AC20-E</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48 V lead-acid traction battery</w:t>
            </w:r>
          </w:p>
        </w:tc>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2021</w:t>
            </w:r>
          </w:p>
        </w:tc>
        <w:tc>
          <w:tcPr>
            <w:tcW w:type="dxa" w:w="43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 zones A to C, refrigerated zone</w:t>
            </w:r>
          </w:p>
        </w:tc>
      </w:tr>
      <w:tr>
        <w:trPr>
          <w:cantSplit/>
        </w:trPr>
        <w:tc>
          <w:tcPr>
            <w:tcW w:type="dxa" w:w="1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RT-01</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Reach truck</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Arcmont RX16</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48 V lead-acid traction battery</w:t>
            </w:r>
          </w:p>
        </w:tc>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2022</w:t>
            </w:r>
          </w:p>
        </w:tc>
        <w:tc>
          <w:tcPr>
            <w:tcW w:type="dxa" w:w="43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Racking rows 1 to 5; replenishment of pick faces in Zones A to C</w:t>
            </w:r>
          </w:p>
        </w:tc>
      </w:tr>
      <w:tr>
        <w:trPr>
          <w:cantSplit/>
        </w:trPr>
        <w:tc>
          <w:tcPr>
            <w:tcW w:type="dxa" w:w="1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RT-02</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Reach truck</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Arcmont RX16</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48 V lead-acid traction battery</w:t>
            </w:r>
          </w:p>
        </w:tc>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2022</w:t>
            </w:r>
          </w:p>
        </w:tc>
        <w:tc>
          <w:tcPr>
            <w:tcW w:type="dxa" w:w="43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Racking rows 6 to 10; replenishment of pick faces in Zones A to C</w:t>
            </w:r>
          </w:p>
        </w:tc>
      </w:tr>
      <w:tr>
        <w:trPr>
          <w:cantSplit/>
        </w:trPr>
        <w:tc>
          <w:tcPr>
            <w:tcW w:type="dxa" w:w="1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PJ-01, PJ-02</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pallet jack (walk-behind)</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Braxa EP20</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24 V battery</w:t>
            </w:r>
          </w:p>
        </w:tc>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2023</w:t>
            </w:r>
          </w:p>
        </w:tc>
        <w:tc>
          <w:tcPr>
            <w:tcW w:type="dxa" w:w="43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 zone B, inbound staging, dispatch lanes</w:t>
            </w:r>
          </w:p>
        </w:tc>
      </w:tr>
      <w:tr>
        <w:trPr>
          <w:cantSplit/>
        </w:trPr>
        <w:tc>
          <w:tcPr>
            <w:tcW w:type="dxa" w:w="1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WS-01</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Walkie stacker (walk-behind)</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Braxa WS12</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24 V battery</w:t>
            </w:r>
          </w:p>
        </w:tc>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2022</w:t>
            </w:r>
          </w:p>
        </w:tc>
        <w:tc>
          <w:tcPr>
            <w:tcW w:type="dxa" w:w="43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Specification extract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500"/>
        <w:gridCol w:w="2500"/>
        <w:gridCol w:w="2500"/>
        <w:gridCol w:w="2200"/>
        <w:gridCol w:w="2284"/>
      </w:tblGrid>
      <w:tr>
        <w:trPr>
          <w:cantSplit/>
          <w:tblHeader/>
        </w:trPr>
        <w:tc>
          <w:tcPr>
            <w:tcW w:type="dxa" w:w="2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Specification</w:t>
            </w:r>
          </w:p>
        </w:tc>
        <w:tc>
          <w:tcPr>
            <w:tcW w:type="dxa" w:w="2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AC25-G (FL-01, FL-02)</w:t>
            </w:r>
          </w:p>
        </w:tc>
        <w:tc>
          <w:tcPr>
            <w:tcW w:type="dxa" w:w="2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AC20-E (FL-03)</w:t>
            </w:r>
          </w:p>
        </w:tc>
        <w:tc>
          <w:tcPr>
            <w:tcW w:type="dxa" w:w="2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RX16 (RT-01, RT-02)</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EP20 (PJ-01, PJ-02)</w:t>
            </w:r>
          </w:p>
        </w:tc>
        <w:tc>
          <w:tcPr>
            <w:tcW w:type="dxa" w:w="22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WS12 (WS-01)</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Rated capacity and load centre</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2,500 kg at 500 mm</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2,000 kg at 500 mm</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1,600 kg at 600 mm</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2,000 kg at 600 mm</w:t>
            </w:r>
          </w:p>
        </w:tc>
        <w:tc>
          <w:tcPr>
            <w:tcW w:type="dxa" w:w="22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1,200 kg at 600 mm</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Maximum lift height</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4,500 mm</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4,500 mm</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9,500 mm</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200 mm (pallet lift only)</w:t>
            </w:r>
          </w:p>
        </w:tc>
        <w:tc>
          <w:tcPr>
            <w:tcW w:type="dxa" w:w="22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3,300 mm</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Travel speed, unladen (maximum)</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19 km/h</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 km/h</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km/h</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km/h</w:t>
            </w:r>
          </w:p>
        </w:tc>
        <w:tc>
          <w:tcPr>
            <w:tcW w:type="dxa" w:w="22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5.5 km/h</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Travel speed, laden (maximum)</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 km/h</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 km/h</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km/h</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km/h</w:t>
            </w:r>
          </w:p>
        </w:tc>
        <w:tc>
          <w:tcPr>
            <w:tcW w:type="dxa" w:w="22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km/h</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Service weight (without load)</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3,950 kg</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3,600 kg</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2,900 kg</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480 kg</w:t>
            </w:r>
          </w:p>
        </w:tc>
        <w:tc>
          <w:tcPr>
            <w:tcW w:type="dxa" w:w="22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1,150 kg</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Operator position</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Seated, facing forward</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Seated, facing forward</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Seated sideways to the direction of travel</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Walking behind the tiller</w:t>
            </w:r>
          </w:p>
        </w:tc>
        <w:tc>
          <w:tcPr>
            <w:tcW w:type="dxa" w:w="22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Walking behind the tiller</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Warning devices fitted as standard</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Horn; headlights; rear work light; amber rotating beacon (dash switch); reversing alarm</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Horn; headlights; rear work light; amber rotating beacon (dash switch); reversing alarm</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Horn; work lights; amber rotating beacon (dash switch); reversing alarm</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Horn</w:t>
            </w:r>
          </w:p>
        </w:tc>
        <w:tc>
          <w:tcPr>
            <w:tcW w:type="dxa" w:w="22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Horn</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Operator protection</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Overhead guard; load backrest; seatbelt; seat switch</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Overhead guard; load backrest; seatbelt; seat switch</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Overhead guard; dead-man pedal</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Belly button reverse; brake on tiller release</w:t>
            </w:r>
          </w:p>
        </w:tc>
        <w:tc>
          <w:tcPr>
            <w:tcW w:type="dxa" w:w="22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Belly button reverse; brake on tiller release</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Factory options available</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Speed limiting; blue pedestrian warning spotlight; beacon wired to the ignition</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Speed limiting; blue pedestrian warning spotlight; beacon wired to the ignition</w:t>
            </w:r>
          </w:p>
        </w:tc>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Speed limiting; blue pedestrian warning spotlight</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2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Options fitted at the Perth DC</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2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Operator manual extracts</w:t>
      </w:r>
    </w:p>
    <w:p>
      <w:pPr>
        <w:spacing w:before="0" w:after="120" w:line="276"/>
      </w:pPr>
      <w:r>
        <w:rPr>
          <w:rFonts w:ascii="Aptos" w:cs="Aptos" w:eastAsia="Aptos" w:hAnsi="Aptos"/>
          <w:color w:val="1E2833"/>
          <w:sz w:val="20"/>
          <w:szCs w:val="20"/>
        </w:rPr>
        <w:t xml:space="preserve">The following extracts are taken from the operator manuals. Wording is summarised; the full manuals are in Limble CMMS.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142"/>
        <w:gridCol w:w="614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Topic</w:t>
            </w:r>
          </w:p>
        </w:tc>
        <w:tc>
          <w:tcPr>
            <w:tcW w:type="dxa" w:w="614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Counterbalance forklifts (AC25-G, AC20-E)</w:t>
            </w:r>
          </w:p>
        </w:tc>
        <w:tc>
          <w:tcPr>
            <w:tcW w:type="dxa" w:w="614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Reach trucks (RX16)</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Visibility with loads</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carried load can block the operator's forward view. When the load blocks the forward view, travel in reverse, looking in the direction of travel, or use a spotter to guide you.</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Bulky loads and the mast restrict vision. When the load blocks the view in the direction of travel, travel in the other direction or use a spotter. Lower the load before travelling.</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Reversing</w:t>
            </w:r>
          </w:p>
        </w:tc>
        <w:tc>
          <w:tcPr>
            <w:tcW w:type="dxa" w:w="614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reversing, look over both shoulders in the direction of travel. The reversing alarm warns people nearby but does not replace looking. Rear vision is restricted by the counterweight and the overhead guard posts.</w:t>
            </w:r>
          </w:p>
        </w:tc>
        <w:tc>
          <w:tcPr>
            <w:tcW w:type="dxa" w:w="614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operator sits sideways and must turn the head to see in either direction of travel. Check both directions before moving.</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Speed</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Travel at a speed that allows the truck to be stopped safely within the distance that can be seen to be clear. Reduce speed at corners, on wet or uneven floors and where people are present. Stopping distance increases with speed and load.</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Travel slowly in aisles and at aisle ends. Never travel with the mast extended or the load raised.</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Load handling</w:t>
            </w:r>
          </w:p>
        </w:tc>
        <w:tc>
          <w:tcPr>
            <w:tcW w:type="dxa" w:w="614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Carry loads low with the mast tilted back. Do not lift or lower while travelling. Do not lift a load over any person.</w:t>
            </w:r>
          </w:p>
        </w:tc>
        <w:tc>
          <w:tcPr>
            <w:tcW w:type="dxa" w:w="614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 not raise or lower loads while people are below or next to the load. Extend the reach only when stationary.</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Rotating beacon</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beacon is switched on and off by the operator at the dash switch. A factory option wires the beacon so that it operates whenever the truck is switched on.</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counterbalance forklifts.</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Speed limiting option</w:t>
            </w:r>
          </w:p>
        </w:tc>
        <w:tc>
          <w:tcPr>
            <w:tcW w:type="dxa" w:w="614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authorised service technician can set a maximum travel speed for the truck. The setting applies wherever the truck travels and is changed only by the technician.</w:t>
            </w:r>
          </w:p>
        </w:tc>
        <w:tc>
          <w:tcPr>
            <w:tcW w:type="dxa" w:w="614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counterbalance forklifts.</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Daily checks</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Brakes, steering, horn, lights, beacon, reversing alarm, seatbelt and seat switch, forks, mast and chains, hydraulic leaks, tyres, LPG system (AC25-G) or battery (AC20-E).</w:t>
            </w:r>
          </w:p>
        </w:tc>
        <w:tc>
          <w:tcPr>
            <w:tcW w:type="dxa" w:w="614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Brakes, steering, horn, lights, beacon, reversing alarm, dead-man pedal, reach mechanism, forks, mast and chains, hydraulic leaks, battery.</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Plant movement count, February 2026</w:t>
      </w:r>
    </w:p>
    <w:p>
      <w:pPr>
        <w:spacing w:before="0" w:after="120" w:line="276"/>
      </w:pPr>
      <w:r>
        <w:rPr>
          <w:rFonts w:ascii="Aptos" w:cs="Aptos" w:eastAsia="Aptos" w:hAnsi="Aptos"/>
          <w:color w:val="1E2833"/>
          <w:sz w:val="20"/>
          <w:szCs w:val="20"/>
        </w:rPr>
        <w:t xml:space="preserve">The WHS team counted forklift and reach truck movements at the Perth DC for one week, from Monday 16 to Sunday 22 February 2026, using observers at fixed points on each shift. A movement is one trip by a forklift or reach truck from one location to another (for example dock to staging, staging to racking, or racking to a pick face). Pallet jack and walkie stacker trips were not counted.</w:t>
      </w:r>
    </w:p>
    <w:p>
      <w:pPr>
        <w:keepNext/>
        <w:spacing w:before="200" w:after="80"/>
      </w:pPr>
      <w:r>
        <w:rPr>
          <w:rFonts w:ascii="Aptos Display" w:cs="Aptos Display" w:eastAsia="Aptos Display" w:hAnsi="Aptos Display"/>
          <w:b/>
          <w:bCs/>
          <w:color w:val="5E7C99"/>
          <w:sz w:val="24"/>
          <w:szCs w:val="24"/>
        </w:rPr>
        <w:t xml:space="preserve">5.1 Average movements per hour by shift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400"/>
        <w:gridCol w:w="2200"/>
        <w:gridCol w:w="2700"/>
        <w:gridCol w:w="2000"/>
        <w:gridCol w:w="2100"/>
        <w:gridCol w:w="1984"/>
      </w:tblGrid>
      <w:tr>
        <w:trPr>
          <w:cantSplit/>
          <w:tblHeader/>
        </w:trPr>
        <w:tc>
          <w:tcPr>
            <w:tcW w:type="dxa" w:w="1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w:t>
            </w:r>
          </w:p>
        </w:tc>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Hours</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Average forklift and reach truck movements per hour</w:t>
            </w:r>
          </w:p>
        </w:tc>
        <w:tc>
          <w:tcPr>
            <w:tcW w:type="dxa" w:w="2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Peak period</w:t>
            </w:r>
          </w:p>
        </w:tc>
        <w:tc>
          <w:tcPr>
            <w:tcW w:type="dxa" w:w="2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Average movements per hour in the peak period</w:t>
            </w:r>
          </w:p>
        </w:tc>
        <w:tc>
          <w:tcPr>
            <w:tcW w:type="dxa" w:w="2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Counterbalance forklift share (average per hour)</w:t>
            </w:r>
          </w:p>
        </w:tc>
        <w:tc>
          <w:tcPr>
            <w:tcW w:type="dxa" w:w="19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Reach truck share (average per hour)</w:t>
            </w:r>
          </w:p>
        </w:tc>
      </w:tr>
      <w:tr>
        <w:trPr>
          <w:cantSplit/>
        </w:trPr>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Morning</w:t>
            </w:r>
          </w:p>
        </w:tc>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06:00 to 14:00, Monday to Friday</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46</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06:00 to 09:00 (inbound container peak)</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71</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38</w:t>
            </w:r>
          </w:p>
        </w:tc>
        <w:tc>
          <w:tcPr>
            <w:tcW w:type="dxa" w:w="19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r>
      <w:tr>
        <w:trPr>
          <w:cantSplit/>
        </w:trPr>
        <w:tc>
          <w:tcPr>
            <w:tcW w:type="dxa" w:w="1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Afternoon</w:t>
            </w:r>
          </w:p>
        </w:tc>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14:00 to 22:00, Monday to Friday</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39</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14:00 to 16:30 (dispatch and line haul loading peak)</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63</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19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r>
      <w:tr>
        <w:trPr>
          <w:cantSplit/>
        </w:trPr>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Overnight</w:t>
            </w:r>
          </w:p>
        </w:tc>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22:00 to 06:00, Sunday night to Friday morning</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recorded</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19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r>
      <w:tr>
        <w:trPr>
          <w:cantSplit/>
        </w:trPr>
        <w:tc>
          <w:tcPr>
            <w:tcW w:type="dxa" w:w="1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Weekend</w:t>
            </w:r>
          </w:p>
        </w:tc>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07:00 to 17:00, Saturday and Sunday</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recorded</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19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r>
    </w:tbl>
    <w:p>
      <w:pPr>
        <w:keepNext/>
        <w:spacing w:before="200" w:after="80"/>
      </w:pPr>
      <w:r>
        <w:rPr>
          <w:rFonts w:ascii="Aptos Display" w:cs="Aptos Display" w:eastAsia="Aptos Display" w:hAnsi="Aptos Display"/>
          <w:b/>
          <w:bCs/>
          <w:color w:val="5E7C99"/>
          <w:sz w:val="24"/>
          <w:szCs w:val="24"/>
        </w:rPr>
        <w:t xml:space="preserve">5.2 Other observations recorded during the count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10884"/>
      </w:tblGrid>
      <w:tr>
        <w:trPr>
          <w:cantSplit/>
          <w:tblHeader/>
        </w:trPr>
        <w:tc>
          <w:tcPr>
            <w:tcW w:type="dxa" w:w="3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Observation</w:t>
            </w:r>
          </w:p>
        </w:tc>
        <w:tc>
          <w:tcPr>
            <w:tcW w:type="dxa" w:w="108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3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Pedestrians at the 14:00 shift changeover</w:t>
            </w:r>
          </w:p>
        </w:tc>
        <w:tc>
          <w:tcPr>
            <w:tcW w:type="dxa" w:w="108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40 people moving to and from the meal room through dispatch and Zone C between about 13:50 and 14:15.</w:t>
            </w:r>
          </w:p>
        </w:tc>
      </w:tr>
      <w:tr>
        <w:trPr>
          <w:cantSplit/>
        </w:trPr>
        <w:tc>
          <w:tcPr>
            <w:tcW w:type="dxa" w:w="3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Reach truck replenishment of pick faces</w:t>
            </w:r>
          </w:p>
        </w:tc>
        <w:tc>
          <w:tcPr>
            <w:tcW w:type="dxa" w:w="108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Mostly between 22:00 and 02:00 on the overnight shift, in the pick aisles of Zones A to C.</w:t>
            </w:r>
          </w:p>
        </w:tc>
      </w:tr>
      <w:tr>
        <w:trPr>
          <w:cantSplit/>
        </w:trPr>
        <w:tc>
          <w:tcPr>
            <w:tcW w:type="dxa" w:w="3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Inbound peak</w:t>
            </w:r>
          </w:p>
        </w:tc>
        <w:tc>
          <w:tcPr>
            <w:tcW w:type="dxa" w:w="108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Container and truck unloading at docks 1 to 4 between 06:00 and 09:00, with pallets staged in inbound staging before putaway.</w:t>
            </w:r>
          </w:p>
        </w:tc>
      </w:tr>
      <w:tr>
        <w:trPr>
          <w:cantSplit/>
        </w:trPr>
        <w:tc>
          <w:tcPr>
            <w:tcW w:type="dxa" w:w="3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Dispatch peak</w:t>
            </w:r>
          </w:p>
        </w:tc>
        <w:tc>
          <w:tcPr>
            <w:tcW w:type="dxa" w:w="108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Line haul and delivery loading at outbound docks 5 to 12 between 14:00 and 16:30.</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Related documents</w:t>
      </w:r>
    </w:p>
    <w:p>
      <w:pPr>
        <w:pStyle w:val="ListParagraph"/>
        <w:numPr>
          <w:ilvl w:val="0"/>
          <w:numId w:val="2"/>
        </w:numPr>
        <w:spacing w:after="60" w:line="264"/>
      </w:pPr>
      <w:r>
        <w:rPr>
          <w:rFonts w:ascii="Aptos" w:cs="Aptos" w:eastAsia="Aptos" w:hAnsi="Aptos"/>
          <w:color w:val="1E2833"/>
          <w:sz w:val="20"/>
          <w:szCs w:val="20"/>
        </w:rPr>
        <w:t xml:space="preserve">SRL-CR-042 Mobile Plant (Forklift and MHE) Operations Safe Operating Procedure</w:t>
      </w:r>
    </w:p>
    <w:p>
      <w:pPr>
        <w:pStyle w:val="ListParagraph"/>
        <w:numPr>
          <w:ilvl w:val="0"/>
          <w:numId w:val="2"/>
        </w:numPr>
        <w:spacing w:after="60" w:line="264"/>
      </w:pPr>
      <w:r>
        <w:rPr>
          <w:rFonts w:ascii="Aptos" w:cs="Aptos" w:eastAsia="Aptos" w:hAnsi="Aptos"/>
          <w:color w:val="1E2833"/>
          <w:sz w:val="20"/>
          <w:szCs w:val="20"/>
        </w:rPr>
        <w:t xml:space="preserve">SRL-CR-043 Traffic Management Procedure and Plan, Perth DC</w:t>
      </w:r>
    </w:p>
    <w:p>
      <w:pPr>
        <w:pStyle w:val="ListParagraph"/>
        <w:numPr>
          <w:ilvl w:val="0"/>
          <w:numId w:val="2"/>
        </w:numPr>
        <w:spacing w:after="60" w:line="264"/>
      </w:pPr>
      <w:r>
        <w:rPr>
          <w:rFonts w:ascii="Aptos" w:cs="Aptos" w:eastAsia="Aptos" w:hAnsi="Aptos"/>
          <w:color w:val="1E2833"/>
          <w:sz w:val="20"/>
          <w:szCs w:val="20"/>
        </w:rPr>
        <w:t xml:space="preserve">SRL-CR-049 Plant Pre-start Check Procedure; SRL-CR-075 Forklift and MHE Pre-start Checklist</w:t>
      </w:r>
    </w:p>
    <w:p>
      <w:pPr>
        <w:pStyle w:val="ListParagraph"/>
        <w:numPr>
          <w:ilvl w:val="0"/>
          <w:numId w:val="2"/>
        </w:numPr>
        <w:spacing w:after="60" w:line="264"/>
      </w:pPr>
      <w:r>
        <w:rPr>
          <w:rFonts w:ascii="Aptos" w:cs="Aptos" w:eastAsia="Aptos" w:hAnsi="Aptos"/>
          <w:color w:val="1E2833"/>
          <w:sz w:val="20"/>
          <w:szCs w:val="20"/>
        </w:rPr>
        <w:t xml:space="preserve">SRL-CR-066 Plant Register, Perth DC</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900"/>
        <w:gridCol w:w="9084"/>
        <w:gridCol w:w="2600"/>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90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27 February 2026</w:t>
            </w:r>
          </w:p>
        </w:tc>
        <w:tc>
          <w:tcPr>
            <w:tcW w:type="dxa" w:w="90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specification and manual extracts for the Perth DC mobile plant and the results of the one-week movement count (16 to 22 February 2026).</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Lisa Anand, DC Manager</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14684"/>
      </w:tabs>
    </w:pPr>
    <w:r>
      <w:rPr>
        <w:rFonts w:ascii="Aptos" w:cs="Aptos" w:eastAsia="Aptos" w:hAnsi="Aptos"/>
        <w:color w:val="5F6B77"/>
        <w:sz w:val="14"/>
        <w:szCs w:val="14"/>
      </w:rPr>
      <w:t xml:space="preserve">SteelRiver Logistics Pty Ltd  ·  SRL-CR-134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14684"/>
      </w:tabs>
    </w:pPr>
    <w:r>
      <w:rPr>
        <w:rFonts w:ascii="Aptos" w:cs="Aptos" w:eastAsia="Aptos" w:hAnsi="Aptos"/>
        <w:color w:val="5F6B77"/>
        <w:sz w:val="14"/>
        <w:szCs w:val="14"/>
      </w:rPr>
      <w:t xml:space="preserve">SteelRiver Logistics Pty Ltd  ·  SRL-CR-134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14684"/>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SRL-CR-134  ·  Perth DC Mobile Plant Specifications and Operating Data Extract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SRL-CR-134 Perth DC Mobile Plant Specifications and Operating Data Extract</dc:title>
  <dc:creator>SteelRiver Logistics Pty Ltd</dc:creator>
  <cp:lastModifiedBy>Un-named</cp:lastModifiedBy>
  <cp:revision>1</cp:revision>
  <dcterms:created xsi:type="dcterms:W3CDTF">2026-10-28T08:26:19.812Z</dcterms:created>
  <dcterms:modified xsi:type="dcterms:W3CDTF">2026-10-28T08:26:19.812Z</dcterms:modified>
</cp:coreProperties>
</file>

<file path=docProps/custom.xml><?xml version="1.0" encoding="utf-8"?>
<Properties xmlns="http://schemas.openxmlformats.org/officeDocument/2006/custom-properties" xmlns:vt="http://schemas.openxmlformats.org/officeDocument/2006/docPropsVTypes"/>
</file>